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PRODUCTO N.° 4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Entrenamiento y Validación del Modelo de Proveedores Favoritos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pStyle w:val="Heading1"/>
        <w:spacing w:lineRule="exact" w:line="240" w:before="240" w:after="120"/>
        <w:rPr/>
      </w:pPr>
      <w:bookmarkStart w:id="0" w:name="__RefHeading___Toc2707_1895474408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Resumen Ejecutivo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evaluación Spark reserva 591 pares proveedor-entidad para holdout final antes de ajustar el preprocesador. El candidate TRAIN solo puede consumir evidencia del mismo fingerprint de corpus y no modifica el champion hasta una promoción explícita.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Nota metodológica: Las métricas obtenidas con el benchmark sintético verifican coherencia metodológica y funcionamiento reproducible del pipeline; no estiman por sí solas desempeño productivo. Las salidas son señales de priorización para revisión humana y no constituyen hallazgos ni determinaciones automáticas de irregularidad.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pacing w:lineRule="auto" w:line="240" w:before="0" w:after="0"/>
            <w:ind w:hanging="0" w:left="0"/>
            <w:rPr>
              <w:rFonts w:ascii="Arial" w:hAnsi="Arial" w:eastAsia="Arial" w:cs="Arial"/>
              <w:b/>
              <w:bCs/>
              <w:sz w:val="22"/>
              <w:szCs w:val="22"/>
            </w:rPr>
          </w:pPr>
          <w:r>
            <w:rPr>
              <w:rFonts w:eastAsia="Arial" w:cs="Arial"/>
              <w:b/>
              <w:bCs/>
              <w:sz w:val="22"/>
              <w:szCs w:val="22"/>
            </w:rPr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2707_1895474408">
            <w:r>
              <w:rPr>
                <w:rStyle w:val="IndexLink"/>
              </w:rPr>
              <w:t>Resumen Ejecutivo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09_1895474408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11_1895474408">
            <w:r>
              <w:rPr>
                <w:rStyle w:val="IndexLink"/>
              </w:rPr>
              <w:t>Índice de Gráficos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13_1895474408">
            <w:r>
              <w:rPr>
                <w:rStyle w:val="IndexLink"/>
              </w:rPr>
              <w:t>Lista de Abreviaturas y Acrónimos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15_1895474408">
            <w:r>
              <w:rPr>
                <w:rStyle w:val="IndexLink"/>
              </w:rPr>
              <w:t>Glosario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17_1895474408">
            <w:r>
              <w:rPr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19_1895474408">
            <w:r>
              <w:rPr>
                <w:rStyle w:val="IndexLink"/>
              </w:rPr>
              <w:t>2. Objetivo de Consultoría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21_1895474408">
            <w:r>
              <w:rPr>
                <w:rStyle w:val="IndexLink"/>
              </w:rPr>
              <w:t>3. Productos Alcanzados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23_1895474408">
            <w:r>
              <w:rPr>
                <w:rStyle w:val="IndexLink"/>
              </w:rPr>
              <w:t>3.1 Diseño de evaluación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25_1895474408">
            <w:r>
              <w:rPr>
                <w:rStyle w:val="IndexLink"/>
              </w:rPr>
              <w:t>3.2 Candidate, champion y fingerprint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27_1895474408">
            <w:r>
              <w:rPr>
                <w:rStyle w:val="IndexLink"/>
              </w:rPr>
              <w:t>3.3 Explicabilidad complementaria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29_1895474408">
            <w:r>
              <w:rPr>
                <w:rStyle w:val="IndexLink"/>
              </w:rPr>
              <w:t>4. Actividades Realizadas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31_1895474408">
            <w:r>
              <w:rPr>
                <w:rStyle w:val="IndexLink"/>
              </w:rPr>
              <w:t>5. Grado de Cumplimiento del Producto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33_1895474408">
            <w:r>
              <w:rPr>
                <w:rStyle w:val="IndexLink"/>
              </w:rPr>
              <w:t>6. Dificultades y Limitaciones Encontradas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35_1895474408">
            <w:r>
              <w:rPr>
                <w:rStyle w:val="IndexLink"/>
              </w:rPr>
              <w:t>7. Conclusiones y Recomendaciones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37_1895474408">
            <w:r>
              <w:rPr>
                <w:rStyle w:val="IndexLink"/>
              </w:rPr>
              <w:t>8. Anexos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39_1895474408">
            <w:r>
              <w:rPr>
                <w:rStyle w:val="IndexLink"/>
              </w:rPr>
              <w:t>ANEXO TÉCNICO — PAGOS, MODALIDADES Y ARQUITECTURA OPERACIONAL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41_1895474408">
            <w:r>
              <w:rPr>
                <w:rStyle w:val="IndexLink"/>
              </w:rPr>
              <w:t>Resultados reproducibles de pagos y modalidades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43_1895474408">
            <w:r>
              <w:rPr>
                <w:rStyle w:val="IndexLink"/>
              </w:rPr>
              <w:t>Distribución de pagos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45_1895474408">
            <w:r>
              <w:rPr>
                <w:rStyle w:val="IndexLink"/>
              </w:rPr>
              <w:t>Modalidades por régimen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47_1895474408">
            <w:r>
              <w:rPr>
                <w:rStyle w:val="IndexLink"/>
              </w:rPr>
              <w:t>Arquitectura operacional Spark-native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49_1895474408">
            <w:r>
              <w:rPr>
                <w:rStyle w:val="IndexLink"/>
              </w:rPr>
              <w:t>Limitación institucional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51_1895474408">
            <w:r>
              <w:rPr>
                <w:rStyle w:val="IndexLink"/>
              </w:rPr>
              <w:t>Referencias Bibliográficas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1" w:name="__RefHeading___Toc2709_1895474408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Métricas holdout del Random Forest Spark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Controles del ciclo de modelo</w:t>
      </w:r>
    </w:p>
    <w:p>
      <w:pPr>
        <w:pStyle w:val="Heading1"/>
        <w:spacing w:lineRule="exact" w:line="240" w:before="240" w:after="120"/>
        <w:rPr/>
      </w:pPr>
      <w:bookmarkStart w:id="2" w:name="__RefHeading___Toc2711_1895474408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Índice de Gráficos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SHAP complementario de favoritismo</w:t>
      </w:r>
    </w:p>
    <w:p>
      <w:pPr>
        <w:pStyle w:val="Heading1"/>
        <w:spacing w:lineRule="exact" w:line="240" w:before="240" w:after="120"/>
        <w:rPr/>
      </w:pPr>
      <w:bookmarkStart w:id="3" w:name="__RefHeading___Toc2713_1895474408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4" w:name="__RefHeading___Toc2715_1895474408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5" w:name="__RefHeading___Toc2717_1895474408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Este producto documenta la separación entre selección, evaluación final, TRAIN, candidate y champion, evitando leakage y cambios silenciosos de serving.</w:t>
      </w:r>
    </w:p>
    <w:p>
      <w:pPr>
        <w:pStyle w:val="Heading1"/>
        <w:spacing w:lineRule="exact" w:line="240" w:before="240" w:after="120"/>
        <w:rPr/>
      </w:pPr>
      <w:bookmarkStart w:id="6" w:name="__RefHeading___Toc2719_1895474408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tomado como referencia plantea disponer datos procesados y filtrados de fuentes externas e internas y desarrollar modelos de Machine Learning que permitan identificar casos atípicos y patrones de riesgo relevantes para la labor del auditor. Este repositorio demuestra ese objetivo como prototipo independiente y reproducible, sin atribuirse aprobación o despliegue institucional CGR.</w:t>
      </w:r>
    </w:p>
    <w:p>
      <w:pPr>
        <w:pStyle w:val="Heading1"/>
        <w:spacing w:lineRule="exact" w:line="240" w:before="240" w:after="120"/>
        <w:rPr/>
      </w:pPr>
      <w:bookmarkStart w:id="7" w:name="__RefHeading___Toc2721_1895474408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3. Productos Alcanzados</w:t>
      </w:r>
    </w:p>
    <w:p>
      <w:pPr>
        <w:pStyle w:val="Heading2"/>
        <w:spacing w:lineRule="exact" w:line="240" w:before="180" w:after="80"/>
        <w:rPr/>
      </w:pPr>
      <w:bookmarkStart w:id="8" w:name="__RefHeading___Toc2723_1895474408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3.1 Diseño de evaluación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Desarrollo: 1,771 pares con 22 positivos. Holdout: 591 pares con 8 positivos. El holdout se reserva antes del FIT y no participa en tuning.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Métricas holdout del Random Forest Spark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4400"/>
        <w:gridCol w:w="4399"/>
      </w:tblGrid>
      <w:tr>
        <w:trPr>
          <w:tblHeader w:val="true"/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Métrica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Resultado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Precision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F1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Recall@K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Los resultados corresponden al benchmark sintético/local de la evidencia vigente. Una métrica alta valida el escenario de prueba, no garantiza generalización institucional.</w:t>
      </w:r>
    </w:p>
    <w:p>
      <w:pPr>
        <w:pStyle w:val="Heading2"/>
        <w:spacing w:lineRule="exact" w:line="240" w:before="180" w:after="80"/>
        <w:rPr/>
      </w:pPr>
      <w:bookmarkStart w:id="9" w:name="__RefHeading___Toc2725_1895474408"/>
      <w:bookmarkEnd w:id="9"/>
      <w:r>
        <w:rPr>
          <w:rFonts w:eastAsia="Arial" w:cs="Arial"/>
          <w:b/>
          <w:bCs/>
          <w:color w:val="000000"/>
          <w:sz w:val="22"/>
          <w:szCs w:val="22"/>
        </w:rPr>
        <w:t>3.2 Candidate, champion y fingerprint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2. Controles del ciclo de modelo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999"/>
        <w:gridCol w:w="5800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Decisión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Fingerprint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 evidencia y TRAIN deben corresponder al mismo corpus canónico.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Candidate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TRAIN genera artefactos candidatos y no cambia serving.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Promoción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Operación separada, explícita y con verificación SHA-256.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Champion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 almacena/versiona como conjunto coherente de artefactos.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INFERENCE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No consume labels, FIT ni tuning.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Rollback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Vuelve a un champion histórico cuyos hashes sean válidos.</w:t>
            </w:r>
          </w:p>
        </w:tc>
      </w:tr>
    </w:tbl>
    <w:p>
      <w:pPr>
        <w:pStyle w:val="Heading2"/>
        <w:spacing w:lineRule="exact" w:line="240" w:before="180" w:after="80"/>
        <w:rPr/>
      </w:pPr>
      <w:bookmarkStart w:id="10" w:name="__RefHeading___Toc2727_1895474408"/>
      <w:bookmarkEnd w:id="10"/>
      <w:r>
        <w:rPr>
          <w:rFonts w:eastAsia="Arial" w:cs="Arial"/>
          <w:b/>
          <w:bCs/>
          <w:color w:val="000000"/>
          <w:sz w:val="22"/>
          <w:szCs w:val="22"/>
        </w:rPr>
        <w:t>3.3 Explicabilidad complementaria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1. Resumen SHAP del benchmark sklearn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1"/>
        <w:spacing w:lineRule="exact" w:line="240" w:before="240" w:after="120"/>
        <w:rPr/>
      </w:pPr>
      <w:bookmarkStart w:id="11" w:name="__RefHeading___Toc2729_1895474408"/>
      <w:bookmarkEnd w:id="11"/>
      <w:r>
        <w:rPr>
          <w:rFonts w:eastAsia="Arial" w:cs="Arial"/>
          <w:b/>
          <w:bCs/>
          <w:color w:val="000000"/>
          <w:sz w:val="22"/>
          <w:szCs w:val="22"/>
        </w:rPr>
        <w:t>4. Actividades Realizadas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Reserva del holdout antes del FIT del preprocesador.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CV/tuning únicamente sobre desarrollo.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Cálculo de métricas agregadas y recall@K.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Vinculación de evaluación y TRAIN mediante fingerprint SHA-256.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Persistencia candidate/champion con hashes y promoción explícita.</w:t>
      </w:r>
    </w:p>
    <w:p>
      <w:pPr>
        <w:pStyle w:val="Heading1"/>
        <w:spacing w:lineRule="exact" w:line="240" w:before="240" w:after="120"/>
        <w:rPr/>
      </w:pPr>
      <w:bookmarkStart w:id="12" w:name="__RefHeading___Toc2731_1895474408"/>
      <w:bookmarkEnd w:id="12"/>
      <w:r>
        <w:rPr>
          <w:rFonts w:eastAsia="Arial" w:cs="Arial"/>
          <w:b/>
          <w:bCs/>
          <w:color w:val="000000"/>
          <w:sz w:val="22"/>
          <w:szCs w:val="22"/>
        </w:rPr>
        <w:t>5. Grado de Cumplimiento del Producto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metodología de evaluación y el contrato MLOps están implementados. Los umbrales productivos y la autoridad de promoción deben ser definidos institucionalmente.</w:t>
      </w:r>
    </w:p>
    <w:p>
      <w:pPr>
        <w:pStyle w:val="Heading1"/>
        <w:spacing w:lineRule="exact" w:line="240" w:before="240" w:after="120"/>
        <w:rPr/>
      </w:pPr>
      <w:bookmarkStart w:id="13" w:name="__RefHeading___Toc2733_1895474408"/>
      <w:bookmarkEnd w:id="13"/>
      <w:r>
        <w:rPr>
          <w:rFonts w:eastAsia="Arial" w:cs="Arial"/>
          <w:b/>
          <w:bCs/>
          <w:color w:val="000000"/>
          <w:sz w:val="22"/>
          <w:szCs w:val="22"/>
        </w:rPr>
        <w:t>6. Dificultades y Limitaciones Encontradas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El holdout sintético no reemplaza validación temporal o por segmentos sobre casos CGR.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 aprobación de un modelo requiere criterios funcionales además de métricas estadísticas.</w:t>
      </w:r>
    </w:p>
    <w:p>
      <w:pPr>
        <w:pStyle w:val="Heading1"/>
        <w:spacing w:lineRule="exact" w:line="240" w:before="240" w:after="120"/>
        <w:rPr/>
      </w:pPr>
      <w:bookmarkStart w:id="14" w:name="__RefHeading___Toc2735_1895474408"/>
      <w:bookmarkEnd w:id="14"/>
      <w:r>
        <w:rPr>
          <w:rFonts w:eastAsia="Arial" w:cs="Arial"/>
          <w:b/>
          <w:bCs/>
          <w:color w:val="000000"/>
          <w:sz w:val="22"/>
          <w:szCs w:val="22"/>
        </w:rPr>
        <w:t>7. Conclusiones y Recomendaciones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ciclo evita usar el holdout para selección y evita que TRAIN cambie el modelo servido. En una adopción CGR se debe mantener la misma separación y agregar gates institucionales.</w:t>
      </w:r>
    </w:p>
    <w:p>
      <w:pPr>
        <w:pStyle w:val="Heading1"/>
        <w:spacing w:lineRule="exact" w:line="240" w:before="240" w:after="120"/>
        <w:rPr/>
      </w:pPr>
      <w:bookmarkStart w:id="15" w:name="__RefHeading___Toc2737_1895474408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8. Anexos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Repositorio, código y documentación técnica: https://github.com/NoeCalle/cgr-analisis-datos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Fuente machine-readable de cifras documentales: outputs/evidencia_documental.json.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Trazabilidad: outputs/run_manifest.json, outputs/linaje_datos.csv y outputs/model_registry.json.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Arquitectura MLOps: docs/Arquitectura_MLOps.md.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Spark y performance: docs/Evaluacion_Spark_y_Performance.md.</w:t>
      </w:r>
    </w:p>
    <w:p>
      <w:pPr>
        <w:pStyle w:val="Heading1"/>
        <w:spacing w:lineRule="auto" w:line="240" w:before="240" w:after="60"/>
        <w:rPr/>
      </w:pPr>
      <w:bookmarkStart w:id="16" w:name="__RefHeading___Toc2739_1895474408"/>
      <w:bookmarkEnd w:id="16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17" w:name="__RefHeading___Toc2741_1895474408"/>
      <w:bookmarkEnd w:id="17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18" w:name="__RefHeading___Toc2743_1895474408"/>
      <w:bookmarkEnd w:id="18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2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19" w:name="__RefHeading___Toc2745_1895474408"/>
      <w:bookmarkEnd w:id="19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3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0" w:name="__RefHeading___Toc2747_1895474408"/>
      <w:bookmarkEnd w:id="20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21" w:name="__RefHeading___Toc2749_1895474408"/>
      <w:bookmarkEnd w:id="21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22" w:name="__RefHeading___Toc2751_1895474408"/>
      <w:bookmarkEnd w:id="22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8"/>
      <w:footerReference w:type="default" r:id="rId9"/>
      <w:footerReference w:type="first" r:id="rId10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Entrenamiento y Validación del Modelo de Proveedores Favoritos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2026-10-12T18:33:46Z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2026-10-12T18:33:51Z</dcterms:modified>
  <cp:revision>2</cp:revision>
  <dc:subject/>
  <dc:title>Entrenamiento y Validación del Modelo de Proveedores Favoritos - Prototipo independiente CGR 1.8.2</dc:title>
</cp:coreProperties>
</file>