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5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Preprocesamiento para Detección de Posible Fraccionamiento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3114_1895474408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feature engineering agrupa contratos por proveedor-entidad-objeto_familia y calcula cantidad y monto sobre una misma ventana de 15 días. Fraccionamiento conserva el monto original para mantener el significado de las comparaciones con cuantías normativas.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Nota metodológica: Las métricas obtenidas con el benchmark sintético verifican coherencia metodológica y funcionamiento reproducible del pipeline; no estiman por sí solas desempeño productivo. Las salidas son señales de priorización para revisión humana y no constituyen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3114_1895474408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16_1895474408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18_1895474408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20_1895474408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22_1895474408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24_1895474408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26_1895474408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28_1895474408">
            <w:r>
              <w:rPr>
                <w:rStyle w:val="IndexLink"/>
              </w:rPr>
              <w:t>3. Productos Alcanzados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30_1895474408">
            <w:r>
              <w:rPr>
                <w:rStyle w:val="IndexLink"/>
              </w:rPr>
              <w:t>3.1 Objeto-familia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32_1895474408">
            <w:r>
              <w:rPr>
                <w:rStyle w:val="IndexLink"/>
              </w:rPr>
              <w:t>3.2 Ventana coherente de 15 días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34_1895474408">
            <w:r>
              <w:rPr>
                <w:rStyle w:val="IndexLink"/>
              </w:rPr>
              <w:t>3.3 Contexto normativo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36_1895474408">
            <w:r>
              <w:rPr>
                <w:rStyle w:val="IndexLink"/>
              </w:rPr>
              <w:t>3.4 División para evaluación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38_1895474408">
            <w:r>
              <w:rPr>
                <w:rStyle w:val="IndexLink"/>
              </w:rPr>
              <w:t>4. Actividades Realizadas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40_1895474408">
            <w:r>
              <w:rPr>
                <w:rStyle w:val="IndexLink"/>
              </w:rPr>
              <w:t>5. Grado de Cumplimiento del Producto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42_1895474408">
            <w:r>
              <w:rPr>
                <w:rStyle w:val="IndexLink"/>
              </w:rPr>
              <w:t>6. Dificultades y Limitaciones Encontradas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44_1895474408">
            <w:r>
              <w:rPr>
                <w:rStyle w:val="IndexLink"/>
              </w:rPr>
              <w:t>7. Conclusiones y Recomendaciones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46_1895474408">
            <w:r>
              <w:rPr>
                <w:rStyle w:val="IndexLink"/>
              </w:rPr>
              <w:t>8. Anexos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48_1895474408">
            <w:r>
              <w:rPr>
                <w:rStyle w:val="IndexLink"/>
              </w:rPr>
              <w:t>ANEXO TÉCNICO — PAGOS, MODALIDADES Y ARQUITECTURA OPERACIONAL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50_1895474408">
            <w:r>
              <w:rPr>
                <w:rStyle w:val="IndexLink"/>
              </w:rPr>
              <w:t>Resultados reproducibles de pagos y modalidades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52_1895474408">
            <w:r>
              <w:rPr>
                <w:rStyle w:val="IndexLink"/>
              </w:rPr>
              <w:t>Distribución de pagos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54_1895474408">
            <w:r>
              <w:rPr>
                <w:rStyle w:val="IndexLink"/>
              </w:rPr>
              <w:t>Modalidades por régimen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56_1895474408">
            <w:r>
              <w:rPr>
                <w:rStyle w:val="IndexLink"/>
              </w:rPr>
              <w:t>Arquitectura operacional Spark-native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158_1895474408">
            <w:r>
              <w:rPr>
                <w:rStyle w:val="IndexLink"/>
              </w:rPr>
              <w:t>Limitación institucional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160_1895474408">
            <w:r>
              <w:rPr>
                <w:rStyle w:val="IndexLink"/>
              </w:rPr>
              <w:t>Referencias Bibliográficas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3116_1895474408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Features principales de fraccionamiento</w:t>
      </w:r>
    </w:p>
    <w:p>
      <w:pPr>
        <w:pStyle w:val="Heading1"/>
        <w:spacing w:lineRule="exact" w:line="240" w:before="240" w:after="120"/>
        <w:rPr/>
      </w:pPr>
      <w:bookmarkStart w:id="2" w:name="__RefHeading___Toc3118_1895474408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Serie temporal del benchmark de contratación</w:t>
      </w:r>
    </w:p>
    <w:p>
      <w:pPr>
        <w:pStyle w:val="Heading1"/>
        <w:spacing w:lineRule="exact" w:line="240" w:before="240" w:after="120"/>
        <w:rPr/>
      </w:pPr>
      <w:bookmarkStart w:id="3" w:name="__RefHeading___Toc3120_1895474408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3122_1895474408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3124_1895474408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Este producto documenta el contrato temporal, lexical y normativo previo al modelo de fraccionamiento.</w:t>
      </w:r>
    </w:p>
    <w:p>
      <w:pPr>
        <w:pStyle w:val="Heading1"/>
        <w:spacing w:lineRule="exact" w:line="240" w:before="240" w:after="120"/>
        <w:rPr/>
      </w:pPr>
      <w:bookmarkStart w:id="6" w:name="__RefHeading___Toc3126_1895474408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7" w:name="__RefHeading___Toc3128_1895474408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3130_1895474408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Objeto-familia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firma objeto_familia aplica una normalización lexical conservadora y sinónimos controlados. Su propósito es agrupar variaciones menores sin depender de embeddings opacos y conservando trazabilidad reproducible.</w:t>
      </w:r>
    </w:p>
    <w:p>
      <w:pPr>
        <w:pStyle w:val="Heading2"/>
        <w:spacing w:lineRule="exact" w:line="240" w:before="180" w:after="80"/>
        <w:rPr/>
      </w:pPr>
      <w:bookmarkStart w:id="9" w:name="__RefHeading___Toc3132_1895474408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Ventana coherente de 15 días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max_contratos_ventana_15d y monto_total_ventana_15d proceden de la misma ventana seleccionada. Esto evita presentar dos indicadores como si describieran un mismo episodio cuando pertenecen a intervalos distintos.</w:t>
      </w:r>
    </w:p>
    <w:p>
      <w:pPr>
        <w:pStyle w:val="Heading2"/>
        <w:spacing w:lineRule="exact" w:line="240" w:before="180" w:after="80"/>
        <w:rPr/>
      </w:pPr>
      <w:bookmarkStart w:id="10" w:name="__RefHeading___Toc3134_1895474408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Contexto normativo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categoría estructurada goods/services/works tiene prioridad cuando existe. El texto libre funciona como fallback conservador. Las cuantías se parametrizan por fecha/categoría y no se aproximan para periodos desconocidos.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Features principales de fraccionamiento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3300"/>
        <w:gridCol w:w="5499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Feature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Interpretación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n_contratos_grupo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Cantidad total de contratos del grupo proveedor-entidad-familia.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max_contratos_ventana_15d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Mayor concentración de contratos dentro de una ventana de 15 días.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monto_total_ventana_15d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 acumulado de esa misma ventana seleccionada.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pct_montos_bajo_umbral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Proporción de montos cercanos por debajo de la cuantía parametrizada.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monto_total_grupo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 acumulado del grupo analítico.</w:t>
            </w:r>
          </w:p>
        </w:tc>
      </w:tr>
    </w:tbl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Serie temporal del benchmark de contratación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11" w:name="__RefHeading___Toc3136_1895474408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3.4 División para evaluación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evaluador Spark reserva 62 grupos para holdout final y mantiene 202 en desarrollo. La unidad de split incluye proveedor, entidad y familia de objeto.</w:t>
      </w:r>
    </w:p>
    <w:p>
      <w:pPr>
        <w:pStyle w:val="Heading1"/>
        <w:spacing w:lineRule="exact" w:line="240" w:before="240" w:after="120"/>
        <w:rPr/>
      </w:pPr>
      <w:bookmarkStart w:id="12" w:name="__RefHeading___Toc3138_1895474408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4. Actividades Realizadas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Normalización determinística de objetos contractuales.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Cálculo de ventanas temporales con paridad pandas/Spark.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Consulta de umbrales por fecha y categoría.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Reserva de holdout antes del FIT del preprocesador.</w:t>
      </w:r>
    </w:p>
    <w:p>
      <w:pPr>
        <w:pStyle w:val="Heading1"/>
        <w:spacing w:lineRule="exact" w:line="240" w:before="240" w:after="120"/>
        <w:rPr/>
      </w:pPr>
      <w:bookmarkStart w:id="13" w:name="__RefHeading___Toc3140_1895474408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5. Grado de Cumplimiento del Producto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feature engineering temporal/normativo y la frontera pandas/Spark están implementados. La validación jurídica de cada caso requiere revisión funcional.</w:t>
      </w:r>
    </w:p>
    <w:p>
      <w:pPr>
        <w:pStyle w:val="Heading1"/>
        <w:spacing w:lineRule="exact" w:line="240" w:before="240" w:after="120"/>
        <w:rPr/>
      </w:pPr>
      <w:bookmarkStart w:id="14" w:name="__RefHeading___Toc3142_1895474408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6. Dificultades y Limitaciones Encontradas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ventana de 15 días es una heurística analítica y no una determinación jurídica por sí sola.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similitud lexical es deliberadamente conservadora; casos semánticos más complejos podrían requerir una estrategia institucional adicional.</w:t>
      </w:r>
    </w:p>
    <w:p>
      <w:pPr>
        <w:pStyle w:val="Heading1"/>
        <w:spacing w:lineRule="exact" w:line="240" w:before="240" w:after="120"/>
        <w:rPr/>
      </w:pPr>
      <w:bookmarkStart w:id="15" w:name="__RefHeading___Toc3144_1895474408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7.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preprocesamiento mantiene trazabilidad al agrupar variantes lexicales y garantiza que cantidad y monto describan el mismo intervalo. Esa coherencia debe preservarse en cualquier integración institucional.</w:t>
      </w:r>
    </w:p>
    <w:p>
      <w:pPr>
        <w:pStyle w:val="Heading1"/>
        <w:spacing w:lineRule="exact" w:line="240" w:before="240" w:after="120"/>
        <w:rPr/>
      </w:pPr>
      <w:bookmarkStart w:id="16" w:name="__RefHeading___Toc3146_1895474408"/>
      <w:bookmarkEnd w:id="16"/>
      <w:r>
        <w:rPr>
          <w:rFonts w:eastAsia="Arial" w:cs="Arial"/>
          <w:b/>
          <w:bCs/>
          <w:color w:val="000000"/>
          <w:sz w:val="22"/>
          <w:szCs w:val="22"/>
        </w:rPr>
        <w:t>8. Anexos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Heading1"/>
        <w:spacing w:lineRule="auto" w:line="240" w:before="240" w:after="60"/>
        <w:rPr/>
      </w:pPr>
      <w:bookmarkStart w:id="17" w:name="__RefHeading___Toc3148_1895474408"/>
      <w:bookmarkEnd w:id="17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8" w:name="__RefHeading___Toc3150_1895474408"/>
      <w:bookmarkEnd w:id="18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9" w:name="__RefHeading___Toc3152_1895474408"/>
      <w:bookmarkEnd w:id="19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2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0" w:name="__RefHeading___Toc3154_1895474408"/>
      <w:bookmarkEnd w:id="20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3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1" w:name="__RefHeading___Toc3156_1895474408"/>
      <w:bookmarkEnd w:id="21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2" w:name="__RefHeading___Toc3158_1895474408"/>
      <w:bookmarkEnd w:id="22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3" w:name="__RefHeading___Toc3160_1895474408"/>
      <w:bookmarkEnd w:id="23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8"/>
      <w:footerReference w:type="default" r:id="rId9"/>
      <w:footerReference w:type="first" r:id="rId10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Preprocesamiento para Detección de Posible Fraccionamiento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2026-10-12T18:33:46Z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2026-10-12T18:33:51Z</dcterms:modified>
  <cp:revision>2</cp:revision>
  <dc:subject/>
  <dc:title>Preprocesamiento para Detección de Posible Fraccionamiento - Prototipo independiente CGR 1.8.2</dc:title>
</cp:coreProperties>
</file>