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0" w:before="400" w:after="0"/>
        <w:rPr/>
      </w:pPr>
      <w:r>
        <w:rPr/>
      </w:r>
    </w:p>
    <w:p>
      <w:pPr>
        <w:pStyle w:val="Normal"/>
        <w:keepNext w:val="false"/>
        <w:spacing w:lineRule="exact" w:line="240" w:before="0" w:after="1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CONTRALORÍA GENERAL DE LA REPÚBLICA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[Espacio reservado para el logo oficial CGR en una entrega institucional autorizada]</w:t>
      </w:r>
    </w:p>
    <w:p>
      <w:pPr>
        <w:pStyle w:val="Normal"/>
        <w:keepNext w:val="false"/>
        <w:spacing w:lineRule="exact" w:line="240" w:before="0" w:after="18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PRODUCTO N.° 6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Selección del Algoritmo y Modelo para Detección de Posible Fraccionamiento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Nombre de la consultoría: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color w:val="000000"/>
          <w:sz w:val="22"/>
          <w:szCs w:val="22"/>
        </w:rPr>
        <w:t>CONTRATACIÓN DE UN CONSULTOR CIENTÍFICO DE DATOS PARA EL DESARROLLO DEL "MÓDULO DE ANÁLISIS DE DATOS PARA DAR SOPORTE A LOS AUDITORES DURANTE LA EJECUCIÓN DE LOS SERVICIOS DE CONTROL" EN EL SISTEMA INTEGRADO DE CONTROL DEL PROYECTO INTERNO 1.8.2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Consultor: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Noé Calle</w:t>
      </w:r>
    </w:p>
    <w:p>
      <w:pPr>
        <w:pStyle w:val="Normal"/>
        <w:keepNext w:val="false"/>
        <w:spacing w:lineRule="exact" w:line="240" w:before="0" w:after="26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PROTOTIPO INDEPENDIENTE - no constituye una implementación oficial ni cuenta con aprobación institucional de la CGR.</w:t>
      </w:r>
    </w:p>
    <w:p>
      <w:pPr>
        <w:pStyle w:val="Normal"/>
        <w:keepNext w:val="false"/>
        <w:spacing w:lineRule="exact" w:line="240" w:before="0" w:after="30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Repositorio de código y documentación:</w:t>
      </w:r>
    </w:p>
    <w:p>
      <w:pPr>
        <w:pStyle w:val="Normal"/>
        <w:keepNext w:val="false"/>
        <w:spacing w:lineRule="exact" w:line="240" w:before="0" w:after="240"/>
        <w:jc w:val="center"/>
        <w:rPr/>
      </w:pPr>
      <w:r>
        <w:rPr>
          <w:rFonts w:eastAsia="Arial" w:cs="Arial"/>
          <w:color w:val="000000"/>
          <w:sz w:val="22"/>
          <w:szCs w:val="22"/>
        </w:rPr>
        <w:t>https://github.com/NoeCalle/cgr-analisis-datos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keepNext w:val="false"/>
        <w:spacing w:lineRule="exact" w:line="240" w:before="0" w:after="80"/>
        <w:jc w:val="center"/>
        <w:rPr/>
      </w:pPr>
      <w:r>
        <w:rPr>
          <w:rFonts w:eastAsia="Arial" w:cs="Arial"/>
          <w:color w:val="000000"/>
          <w:sz w:val="22"/>
          <w:szCs w:val="22"/>
        </w:rPr>
        <w:t>Fecha de presentación: agosto de 2026</w:t>
      </w:r>
    </w:p>
    <w:p>
      <w:pPr>
        <w:pStyle w:val="Heading1"/>
        <w:spacing w:lineRule="exact" w:line="240" w:before="240" w:after="120"/>
        <w:rPr/>
      </w:pPr>
      <w:bookmarkStart w:id="0" w:name="__RefHeading___Toc3598_1895474408"/>
      <w:bookmarkEnd w:id="0"/>
      <w:r>
        <w:rPr>
          <w:rFonts w:eastAsia="Arial" w:cs="Arial"/>
          <w:b/>
          <w:bCs/>
          <w:color w:val="000000"/>
          <w:sz w:val="22"/>
          <w:szCs w:val="22"/>
        </w:rPr>
        <w:t>Resumen Ejecutivo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modelo servido utiliza Apache Spark MLlib con StandardScalerModel + KMeansModel y distancia al centroide. k se selecciona únicamente en desarrollo y el holdout final independiente obtiene AUC-PR 0.323. Isolation Forest permanece como benchmark sklearn complementario y no define el champion.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Nota metodológica: Las métricas obtenidas con el benchmark sintético verifican coherencia metodológica y funcionamiento reproducible del pipeline; no estiman por sí solas desempeño productivo. Las salidas son señales de priorización para revisión humana y no constituyen hallazgos ni determinaciones automáticas de irregularidad.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spacing w:lineRule="auto" w:line="240" w:before="0" w:after="0"/>
            <w:ind w:hanging="0" w:left="0"/>
            <w:rPr>
              <w:rFonts w:ascii="Arial" w:hAnsi="Arial" w:eastAsia="Arial" w:cs="Arial"/>
              <w:b/>
              <w:bCs/>
              <w:sz w:val="22"/>
              <w:szCs w:val="22"/>
            </w:rPr>
          </w:pPr>
          <w:r>
            <w:rPr>
              <w:rFonts w:eastAsia="Arial" w:cs="Arial"/>
              <w:b/>
              <w:bCs/>
              <w:sz w:val="22"/>
              <w:szCs w:val="22"/>
            </w:rPr>
            <w:t>Índice</w:t>
          </w:r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3598_1895474408">
            <w:r>
              <w:rPr>
                <w:rStyle w:val="IndexLink"/>
              </w:rPr>
              <w:t>Resumen Ejecutivo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00_1895474408">
            <w:r>
              <w:rPr>
                <w:rStyle w:val="IndexLink"/>
              </w:rPr>
              <w:t>Índice de Tablas o Cuadros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02_1895474408">
            <w:r>
              <w:rPr>
                <w:rStyle w:val="IndexLink"/>
              </w:rPr>
              <w:t>Índice de Gráficos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04_1895474408">
            <w:r>
              <w:rPr>
                <w:rStyle w:val="IndexLink"/>
              </w:rPr>
              <w:t>Lista de Abreviaturas y Acrónimos</w:t>
              <w:tab/>
              <w:t>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06_1895474408">
            <w:r>
              <w:rPr>
                <w:rStyle w:val="IndexLink"/>
              </w:rPr>
              <w:t>Glosario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08_1895474408">
            <w:r>
              <w:rPr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10_1895474408">
            <w:r>
              <w:rPr>
                <w:rStyle w:val="IndexLink"/>
              </w:rPr>
              <w:t>2. Objetivo de Consultoría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12_1895474408">
            <w:r>
              <w:rPr>
                <w:rStyle w:val="IndexLink"/>
              </w:rPr>
              <w:t>3. Productos Alcanzados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14_1895474408">
            <w:r>
              <w:rPr>
                <w:rStyle w:val="IndexLink"/>
              </w:rPr>
              <w:t>3.1 Justificación del algoritmo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16_1895474408">
            <w:r>
              <w:rPr>
                <w:rStyle w:val="IndexLink"/>
              </w:rPr>
              <w:t>3.2 Selección y holdout del KMeans servido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18_1895474408">
            <w:r>
              <w:rPr>
                <w:rStyle w:val="IndexLink"/>
              </w:rPr>
              <w:t>3.3 Señal interpretable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20_1895474408">
            <w:r>
              <w:rPr>
                <w:rStyle w:val="IndexLink"/>
              </w:rPr>
              <w:t>3.4 Benchmark complementario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22_1895474408">
            <w:r>
              <w:rPr>
                <w:rStyle w:val="IndexLink"/>
              </w:rPr>
              <w:t>4. Actividades Realizadas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24_1895474408">
            <w:r>
              <w:rPr>
                <w:rStyle w:val="IndexLink"/>
              </w:rPr>
              <w:t>5. Grado de Cumplimiento del Producto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26_1895474408">
            <w:r>
              <w:rPr>
                <w:rStyle w:val="IndexLink"/>
              </w:rPr>
              <w:t>6. Dificultades y Limitaciones Encontradas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28_1895474408">
            <w:r>
              <w:rPr>
                <w:rStyle w:val="IndexLink"/>
              </w:rPr>
              <w:t>7. Conclusiones y Recomendaciones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30_1895474408">
            <w:r>
              <w:rPr>
                <w:rStyle w:val="IndexLink"/>
              </w:rPr>
              <w:t>8. Anexos</w:t>
              <w:tab/>
              <w:t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32_1895474408">
            <w:r>
              <w:rPr>
                <w:rStyle w:val="IndexLink"/>
              </w:rPr>
              <w:t>ANEXO TÉCNICO — PAGOS, MODALIDADES Y ARQUITECTURA OPERACIONAL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34_1895474408">
            <w:r>
              <w:rPr>
                <w:rStyle w:val="IndexLink"/>
              </w:rPr>
              <w:t>Resultados reproducibles de pagos y modalidades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36_1895474408">
            <w:r>
              <w:rPr>
                <w:rStyle w:val="IndexLink"/>
              </w:rPr>
              <w:t>Distribución de pagos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38_1895474408">
            <w:r>
              <w:rPr>
                <w:rStyle w:val="IndexLink"/>
              </w:rPr>
              <w:t>Modalidades por régimen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40_1895474408">
            <w:r>
              <w:rPr>
                <w:rStyle w:val="IndexLink"/>
              </w:rPr>
              <w:t>Arquitectura operacional Spark-native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3642_1895474408">
            <w:r>
              <w:rPr>
                <w:rStyle w:val="IndexLink"/>
              </w:rPr>
              <w:t>Limitación institucional</w:t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3644_1895474408">
            <w:r>
              <w:rPr>
                <w:rStyle w:val="IndexLink"/>
              </w:rPr>
              <w:t>Referencias Bibliográficas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exact" w:line="240"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/>
      </w:r>
    </w:p>
    <w:p>
      <w:pPr>
        <w:pStyle w:val="Heading1"/>
        <w:spacing w:lineRule="exact" w:line="240" w:before="240" w:after="120"/>
        <w:rPr/>
      </w:pPr>
      <w:bookmarkStart w:id="1" w:name="__RefHeading___Toc3600_1895474408"/>
      <w:bookmarkEnd w:id="1"/>
      <w:r>
        <w:rPr>
          <w:rFonts w:eastAsia="Arial" w:cs="Arial"/>
          <w:b/>
          <w:bCs/>
          <w:color w:val="000000"/>
          <w:sz w:val="22"/>
          <w:szCs w:val="22"/>
        </w:rPr>
        <w:t>Índice de Tablas o Cuadros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Evaluación holdout KMeans Spark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2. Benchmark Isolation Forest complementario</w:t>
      </w:r>
    </w:p>
    <w:p>
      <w:pPr>
        <w:pStyle w:val="Heading1"/>
        <w:spacing w:lineRule="exact" w:line="240" w:before="240" w:after="120"/>
        <w:rPr/>
      </w:pPr>
      <w:bookmarkStart w:id="2" w:name="__RefHeading___Toc3602_1895474408"/>
      <w:bookmarkEnd w:id="2"/>
      <w:r>
        <w:rPr>
          <w:rFonts w:eastAsia="Arial" w:cs="Arial"/>
          <w:b/>
          <w:bCs/>
          <w:color w:val="000000"/>
          <w:sz w:val="22"/>
          <w:szCs w:val="22"/>
        </w:rPr>
        <w:t>Índice de Gráficos</w:t>
      </w:r>
    </w:p>
    <w:p>
      <w:pPr>
        <w:pStyle w:val="Normal"/>
        <w:keepNext w:val="false"/>
        <w:spacing w:lineRule="exact" w:line="240" w:before="0" w:after="35"/>
        <w:jc w:val="left"/>
        <w:rPr/>
      </w:pPr>
      <w:r>
        <w:rPr>
          <w:rFonts w:eastAsia="Arial" w:cs="Arial"/>
          <w:color w:val="000000"/>
          <w:sz w:val="22"/>
          <w:szCs w:val="22"/>
        </w:rPr>
        <w:t>1. Señales de posible fraccionamiento</w:t>
      </w:r>
    </w:p>
    <w:p>
      <w:pPr>
        <w:pStyle w:val="Heading1"/>
        <w:spacing w:lineRule="exact" w:line="240" w:before="240" w:after="120"/>
        <w:rPr/>
      </w:pPr>
      <w:bookmarkStart w:id="3" w:name="__RefHeading___Toc3604_1895474408"/>
      <w:bookmarkEnd w:id="3"/>
      <w:r>
        <w:rPr>
          <w:rFonts w:eastAsia="Arial" w:cs="Arial"/>
          <w:b/>
          <w:bCs/>
          <w:color w:val="000000"/>
          <w:sz w:val="22"/>
          <w:szCs w:val="22"/>
        </w:rPr>
        <w:t>Lista de Abreviaturas y Acrónimos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1799"/>
        <w:gridCol w:w="7000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Sigla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Significado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Precision-Recall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Área bajo la curva Receiver Operating Characteristic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CGR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Contraloría General de la República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Integración continua (Continuous Integration)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CV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Validación cruzada (Cross-Validation)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DAG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Grafo acíclico dirigido (Directed Acyclic Graph)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EDA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Análisis exploratorio de datos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Extracción, transformación y carga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HDFS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Hadoop Distributed File System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Machine Learning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MLlib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Biblioteca de Machine Learning de Apache Spark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OCDS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Open Contracting Data Standard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OECE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Organismo Especializado para las Contrataciones Públicas Eficientes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PoC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Prueba de concepto (Proof of Concept)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PSI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Population Stability Index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SHapley Additive exPlanations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SSRS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SQL Server Reporting Services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TDR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Términos de Referencia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4" w:name="__RefHeading___Toc3606_1895474408"/>
      <w:bookmarkEnd w:id="4"/>
      <w:r>
        <w:rPr>
          <w:rFonts w:eastAsia="Arial" w:cs="Arial"/>
          <w:b/>
          <w:bCs/>
          <w:color w:val="000000"/>
          <w:sz w:val="22"/>
          <w:szCs w:val="22"/>
        </w:rPr>
        <w:t>Glosario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2500"/>
        <w:gridCol w:w="6299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Término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Definición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Benchmark sintético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Conjunto de datos artificial con casos sembrados, usado para verificar el comportamiento del prototipo sin asumir desempeño productivo.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Feature engineering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Creación o transformación de variables analíticas a partir de los datos de origen.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Ground truth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Etiqueta de referencia usada para evaluar un modelo. En el PoC las etiquetas son sintéticas; el ground truth real requiere validación institucional.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Hard negative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Caso negativo diseñado para parecerse a un positivo y evitar una separación artificialmente trivial.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Holdout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Partición reservada que no participa en el ajuste de parámetros y se usa para una evaluación independiente.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Lakehouse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Arquitectura que combina almacenamiento de datos a escala con capacidades de gestión y consulta analítica.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Señal de priorización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Indicador para ordenar casos que merecen revisión humana; no constituye por sí mismo un hallazgo ni una determinación jurídica.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5" w:name="__RefHeading___Toc3608_1895474408"/>
      <w:bookmarkEnd w:id="5"/>
      <w:r>
        <w:rPr>
          <w:rFonts w:eastAsia="Arial" w:cs="Arial"/>
          <w:b/>
          <w:bCs/>
          <w:color w:val="000000"/>
          <w:sz w:val="22"/>
          <w:szCs w:val="22"/>
        </w:rPr>
        <w:t>1. Introducción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Este producto presenta como evidencia principal el KMeans Spark realmente utilizado por el perfil operacional y separa sus métricas del benchmark Isolation Forest.</w:t>
      </w:r>
    </w:p>
    <w:p>
      <w:pPr>
        <w:pStyle w:val="Heading1"/>
        <w:spacing w:lineRule="exact" w:line="240" w:before="240" w:after="120"/>
        <w:rPr/>
      </w:pPr>
      <w:bookmarkStart w:id="6" w:name="__RefHeading___Toc3610_1895474408"/>
      <w:bookmarkEnd w:id="6"/>
      <w:r>
        <w:rPr>
          <w:rFonts w:eastAsia="Arial" w:cs="Arial"/>
          <w:b/>
          <w:bCs/>
          <w:color w:val="000000"/>
          <w:sz w:val="22"/>
          <w:szCs w:val="22"/>
        </w:rPr>
        <w:t>2. Objetivo de Consultoría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TDR tomado como referencia plantea disponer datos procesados y filtrados de fuentes externas e internas y desarrollar modelos de Machine Learning que permitan identificar casos atípicos y patrones de riesgo relevantes para la labor del auditor. Este repositorio demuestra ese objetivo como prototipo independiente y reproducible, sin atribuirse aprobación o despliegue institucional CGR.</w:t>
      </w:r>
    </w:p>
    <w:p>
      <w:pPr>
        <w:pStyle w:val="Heading1"/>
        <w:spacing w:lineRule="exact" w:line="240" w:before="240" w:after="120"/>
        <w:rPr/>
      </w:pPr>
      <w:bookmarkStart w:id="7" w:name="__RefHeading___Toc3612_1895474408"/>
      <w:bookmarkEnd w:id="7"/>
      <w:r>
        <w:rPr>
          <w:rFonts w:eastAsia="Arial" w:cs="Arial"/>
          <w:b/>
          <w:bCs/>
          <w:color w:val="000000"/>
          <w:sz w:val="22"/>
          <w:szCs w:val="22"/>
        </w:rPr>
        <w:t>3. Productos Alcanzados</w:t>
      </w:r>
    </w:p>
    <w:p>
      <w:pPr>
        <w:pStyle w:val="Heading2"/>
        <w:spacing w:lineRule="exact" w:line="240" w:before="180" w:after="80"/>
        <w:rPr/>
      </w:pPr>
      <w:bookmarkStart w:id="8" w:name="__RefHeading___Toc3614_1895474408"/>
      <w:bookmarkEnd w:id="8"/>
      <w:r>
        <w:rPr>
          <w:rFonts w:eastAsia="Arial" w:cs="Arial"/>
          <w:b/>
          <w:bCs/>
          <w:color w:val="000000"/>
          <w:sz w:val="22"/>
          <w:szCs w:val="22"/>
        </w:rPr>
        <w:t>3.1 Justificación del algoritmo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Apache Spark MLlib no incorpora Isolation Forest nativo. KMeans permite una implementación distribuible: StandardScaler normaliza las features, KMeans aprende centroides sin labels y la distancia al centroide se transforma en score de anomalía para ranking.</w:t>
      </w:r>
    </w:p>
    <w:p>
      <w:pPr>
        <w:pStyle w:val="Heading2"/>
        <w:spacing w:lineRule="exact" w:line="240" w:before="180" w:after="80"/>
        <w:rPr/>
      </w:pPr>
      <w:bookmarkStart w:id="9" w:name="__RefHeading___Toc3616_1895474408"/>
      <w:bookmarkEnd w:id="9"/>
      <w:r>
        <w:rPr>
          <w:rFonts w:eastAsia="Arial" w:cs="Arial"/>
          <w:b/>
          <w:bCs/>
          <w:color w:val="000000"/>
          <w:sz w:val="22"/>
          <w:szCs w:val="22"/>
        </w:rPr>
        <w:t>3.2 Selección y holdout del KMeans servido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1. Evaluación holdout KMeans Spark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4400"/>
        <w:gridCol w:w="4399"/>
      </w:tblGrid>
      <w:tr>
        <w:trPr>
          <w:tblHeader w:val="true"/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Métrica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Resultado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k seleccionado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3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Grupos desarrollo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202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Positivos desarrollo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17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Grupos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62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Positivos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7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0.323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0.875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Precision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0.429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0.429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F1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0.429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Recall@K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0.429</w:t>
            </w:r>
          </w:p>
        </w:tc>
      </w:tr>
    </w:tbl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Las etiquetas no se utilizan para ajustar KMeans; se utilizan para seleccionar/evaluar el ranking en el benchmark. El holdout no participa en la selección de k.</w:t>
      </w:r>
    </w:p>
    <w:p>
      <w:pPr>
        <w:pStyle w:val="Heading2"/>
        <w:spacing w:lineRule="exact" w:line="240" w:before="180" w:after="80"/>
        <w:rPr/>
      </w:pPr>
      <w:bookmarkStart w:id="10" w:name="__RefHeading___Toc3618_1895474408"/>
      <w:bookmarkEnd w:id="10"/>
      <w:r>
        <w:rPr>
          <w:rFonts w:eastAsia="Arial" w:cs="Arial"/>
          <w:b/>
          <w:bCs/>
          <w:color w:val="000000"/>
          <w:sz w:val="22"/>
          <w:szCs w:val="22"/>
        </w:rPr>
        <w:t>3.3 Señal interpretable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score de anomalía se complementa con una regla de caja blanca basada en concentración temporal y montos respecto de cuantías parametrizadas. Esta señal facilita revisión humana, pero no declara fraccionamiento.</w:t>
      </w:r>
    </w:p>
    <w:p>
      <w:pPr>
        <w:pStyle w:val="Normal"/>
        <w:keepNext w:val="true"/>
        <w:spacing w:lineRule="exact" w:line="240" w:before="0" w:after="3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Gráfico 1. Señales de posible fraccionamiento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810250" cy="3333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spacing w:lineRule="exact" w:line="240" w:before="0" w:after="9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Fuente: Elaboración propia a partir de la evidencia reproducible del PoC.</w:t>
      </w:r>
    </w:p>
    <w:p>
      <w:pPr>
        <w:pStyle w:val="Heading2"/>
        <w:spacing w:lineRule="exact" w:line="240" w:before="180" w:after="80"/>
        <w:rPr/>
      </w:pPr>
      <w:bookmarkStart w:id="11" w:name="__RefHeading___Toc3620_1895474408"/>
      <w:bookmarkEnd w:id="11"/>
      <w:r>
        <w:rPr>
          <w:rFonts w:eastAsia="Arial" w:cs="Arial"/>
          <w:b/>
          <w:bCs/>
          <w:color w:val="000000"/>
          <w:sz w:val="22"/>
          <w:szCs w:val="22"/>
        </w:rPr>
        <w:t>3.4 Benchmark complementario</w:t>
      </w:r>
    </w:p>
    <w:p>
      <w:pPr>
        <w:pStyle w:val="Normal"/>
        <w:keepNext w:val="true"/>
        <w:spacing w:lineRule="exact" w:line="240" w:before="0" w:after="45"/>
        <w:jc w:val="center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Tabla 2. Benchmark Isolation Forest complementario</w:t>
      </w:r>
    </w:p>
    <w:tbl>
      <w:tblPr>
        <w:tblW w:w="8800" w:type="dxa"/>
        <w:jc w:val="left"/>
        <w:tblInd w:w="0" w:type="dxa"/>
        <w:tblLayout w:type="fixed"/>
        <w:tblCellMar>
          <w:top w:w="55" w:type="dxa"/>
          <w:left w:w="80" w:type="dxa"/>
          <w:bottom w:w="55" w:type="dxa"/>
          <w:right w:w="80" w:type="dxa"/>
        </w:tblCellMar>
      </w:tblPr>
      <w:tblGrid>
        <w:gridCol w:w="4400"/>
        <w:gridCol w:w="4399"/>
      </w:tblGrid>
      <w:tr>
        <w:trPr>
          <w:tblHeader w:val="true"/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Elemento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Resultado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Rol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Comparación metodológica sklearn; no es el serving activo.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AUC-PR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0.133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AUC-ROC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0.659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F1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0.000</w:t>
            </w:r>
          </w:p>
        </w:tc>
      </w:tr>
      <w:tr>
        <w:trPr>
          <w:cantSplit w:val="true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Recall@K holdout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2"/>
                <w:szCs w:val="22"/>
              </w:rPr>
              <w:t>0.000</w:t>
            </w:r>
          </w:p>
        </w:tc>
      </w:tr>
    </w:tbl>
    <w:p>
      <w:pPr>
        <w:pStyle w:val="Heading1"/>
        <w:spacing w:lineRule="exact" w:line="240" w:before="240" w:after="120"/>
        <w:rPr/>
      </w:pPr>
      <w:bookmarkStart w:id="12" w:name="__RefHeading___Toc3622_1895474408"/>
      <w:bookmarkEnd w:id="12"/>
      <w:r>
        <w:rPr>
          <w:rFonts w:eastAsia="Arial" w:cs="Arial"/>
          <w:b/>
          <w:bCs/>
          <w:color w:val="000000"/>
          <w:sz w:val="22"/>
          <w:szCs w:val="22"/>
        </w:rPr>
        <w:t>4. Actividades Realizadas</w:t>
      </w:r>
    </w:p>
    <w:p>
      <w:pPr>
        <w:pStyle w:val="ListParagraph"/>
        <w:numPr>
          <w:ilvl w:val="0"/>
          <w:numId w:val="3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de StandardScaler + KMeans + distancia al centroide.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Selección de k únicamente sobre desarrollo.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final en holdout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Comparación complementaria con Isolation Forest sin confundir sus métricas con el champion.</w:t>
      </w:r>
    </w:p>
    <w:p>
      <w:pPr>
        <w:pStyle w:val="Heading1"/>
        <w:spacing w:lineRule="exact" w:line="240" w:before="240" w:after="120"/>
        <w:rPr/>
      </w:pPr>
      <w:bookmarkStart w:id="13" w:name="__RefHeading___Toc3624_1895474408"/>
      <w:bookmarkEnd w:id="13"/>
      <w:r>
        <w:rPr>
          <w:rFonts w:eastAsia="Arial" w:cs="Arial"/>
          <w:b/>
          <w:bCs/>
          <w:color w:val="000000"/>
          <w:sz w:val="22"/>
          <w:szCs w:val="22"/>
        </w:rPr>
        <w:t>5. Grado de Cumplimiento del Producto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El modelo KMeans Spark dispone de selección y holdout propios. La calibración con ground truth real y el rendimiento distribuido deben validarse en infraestructura CGR.</w:t>
      </w:r>
    </w:p>
    <w:p>
      <w:pPr>
        <w:pStyle w:val="Heading1"/>
        <w:spacing w:lineRule="exact" w:line="240" w:before="240" w:after="120"/>
        <w:rPr/>
      </w:pPr>
      <w:bookmarkStart w:id="14" w:name="__RefHeading___Toc3626_1895474408"/>
      <w:bookmarkEnd w:id="14"/>
      <w:r>
        <w:rPr>
          <w:rFonts w:eastAsia="Arial" w:cs="Arial"/>
          <w:b/>
          <w:bCs/>
          <w:color w:val="000000"/>
          <w:sz w:val="22"/>
          <w:szCs w:val="22"/>
        </w:rPr>
        <w:t>6. Dificultades y Limitaciones Encontradas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El desbalance y el número limitado de positivos sintéticos hacen que las métricas sean variables.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Un score de anomalía prioriza rareza estadística; la interpretación de irregularidad requiere contexto documental y jurídico.</w:t>
      </w:r>
    </w:p>
    <w:p>
      <w:pPr>
        <w:pStyle w:val="Heading1"/>
        <w:spacing w:lineRule="exact" w:line="240" w:before="240" w:after="120"/>
        <w:rPr/>
      </w:pPr>
      <w:bookmarkStart w:id="15" w:name="__RefHeading___Toc3628_1895474408"/>
      <w:bookmarkEnd w:id="15"/>
      <w:r>
        <w:rPr>
          <w:rFonts w:eastAsia="Arial" w:cs="Arial"/>
          <w:b/>
          <w:bCs/>
          <w:color w:val="000000"/>
          <w:sz w:val="22"/>
          <w:szCs w:val="22"/>
        </w:rPr>
        <w:t>7. Conclusiones y Recomendaciones</w:t>
      </w:r>
    </w:p>
    <w:p>
      <w:pPr>
        <w:pStyle w:val="Normal"/>
        <w:keepNext w:val="false"/>
        <w:spacing w:lineRule="exact" w:line="240" w:before="0" w:after="80"/>
        <w:jc w:val="both"/>
        <w:rPr/>
      </w:pPr>
      <w:r>
        <w:rPr>
          <w:rFonts w:eastAsia="Arial" w:cs="Arial"/>
          <w:color w:val="000000"/>
          <w:sz w:val="22"/>
          <w:szCs w:val="22"/>
        </w:rPr>
        <w:t>KMeans Spark es el modelo operacional de fraccionamiento del PoC. Isolation Forest se conserva como benchmark secundario; la evidencia principal del entregable corresponde al pipeline servido.</w:t>
      </w:r>
    </w:p>
    <w:p>
      <w:pPr>
        <w:pStyle w:val="Heading1"/>
        <w:spacing w:lineRule="exact" w:line="240" w:before="240" w:after="120"/>
        <w:rPr/>
      </w:pPr>
      <w:bookmarkStart w:id="16" w:name="__RefHeading___Toc3630_1895474408"/>
      <w:bookmarkEnd w:id="16"/>
      <w:r>
        <w:rPr>
          <w:rFonts w:eastAsia="Arial" w:cs="Arial"/>
          <w:b/>
          <w:bCs/>
          <w:color w:val="000000"/>
          <w:sz w:val="22"/>
          <w:szCs w:val="22"/>
        </w:rPr>
        <w:t>8. Anexos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Repositorio, código y documentación técnica: https://github.com/NoeCalle/cgr-analisis-datos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Fuente machine-readable de cifras documentales: outputs/evidencia_documental.json.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Trazabilidad: outputs/run_manifest.json, outputs/linaje_datos.csv y outputs/model_registry.json.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Arquitectura MLOps: docs/Arquitectura_MLOps.md.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Evaluación Spark y performance: docs/Evaluacion_Spark_y_Performance.md.</w:t>
      </w:r>
    </w:p>
    <w:p>
      <w:pPr>
        <w:pStyle w:val="Heading1"/>
        <w:spacing w:lineRule="auto" w:line="240" w:before="240" w:after="60"/>
        <w:rPr/>
      </w:pPr>
      <w:bookmarkStart w:id="17" w:name="__RefHeading___Toc3632_1895474408"/>
      <w:bookmarkEnd w:id="17"/>
      <w:r>
        <w:rPr>
          <w:b/>
          <w:sz w:val="22"/>
        </w:rPr>
        <w:t>ANEXO TÉCNICO — PAGOS, MODALIDADES Y ARQUITECTURA OPERACIONAL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Este anexo cubre el análisis estadístico/exploratorio de pagos, montos contractuales y modalidades y documenta la arquitectura operacional asociada. La evidencia de pagos usa datos sintéticos vinculados a contratos sintéticos; no representa información SIAF real ni determina la legalidad de una modalidad.</w:t>
      </w:r>
    </w:p>
    <w:p>
      <w:pPr>
        <w:pStyle w:val="Heading2"/>
        <w:spacing w:lineRule="auto" w:line="240" w:before="180" w:after="60"/>
        <w:rPr/>
      </w:pPr>
      <w:bookmarkStart w:id="18" w:name="__RefHeading___Toc3634_1895474408"/>
      <w:bookmarkEnd w:id="18"/>
      <w:r>
        <w:rPr>
          <w:b/>
          <w:sz w:val="22"/>
        </w:rPr>
        <w:t>Resultados reproducibles de pagos y modalidades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Indicador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fill="E7E6E6"/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b/>
                <w:sz w:val="22"/>
              </w:rPr>
              <w:t>Resultado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sintéticos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7790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analizados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4296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Pagos huérfanos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con pago parcial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515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Contratos pendientes sin pago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261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Señales de sobrepago a revisar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93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Demora P90 devengado→pagado (días)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28.0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especiales no inferibles solo por cuantía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1601</w:t>
            </w:r>
          </w:p>
        </w:tc>
      </w:tr>
      <w:tr>
        <w:trPr/>
        <w:tc>
          <w:tcPr>
            <w:tcW w:w="451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Modalidades que requieren revisión de contexto</w:t>
            </w:r>
          </w:p>
        </w:tc>
        <w:tc>
          <w:tcPr>
            <w:tcW w:w="45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>
            <w:pPr>
              <w:pStyle w:val="Normal"/>
              <w:spacing w:lineRule="auto" w:line="240" w:before="0" w:after="60"/>
              <w:rPr/>
            </w:pPr>
            <w:r>
              <w:rPr>
                <w:sz w:val="22"/>
              </w:rPr>
              <w:t>1565</w:t>
            </w:r>
          </w:p>
        </w:tc>
      </w:tr>
    </w:tbl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La comparación de modalidades frente a cuantía es únicamente referencial. Contratación Directa, Comparación de Precios, Subasta Inversa, acuerdos marco y otros supuestos pueden depender de condiciones que no se deducen del monto por sí solo; 'requiere revisión de contexto' no equivale a irregularidad.</w:t>
      </w:r>
    </w:p>
    <w:p>
      <w:pPr>
        <w:pStyle w:val="Heading2"/>
        <w:spacing w:lineRule="auto" w:line="240" w:before="180" w:after="60"/>
        <w:rPr/>
      </w:pPr>
      <w:bookmarkStart w:id="19" w:name="__RefHeading___Toc3636_1895474408"/>
      <w:bookmarkEnd w:id="19"/>
      <w:r>
        <w:rPr>
          <w:b/>
          <w:sz w:val="22"/>
        </w:rPr>
        <w:t>Distribución de pagos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150235"/>
            <wp:effectExtent l="0" t="0" r="0" b="0"/>
            <wp:docPr id="2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0" w:name="__RefHeading___Toc3638_1895474408"/>
      <w:bookmarkEnd w:id="20"/>
      <w:r>
        <w:rPr>
          <w:b/>
          <w:sz w:val="22"/>
        </w:rPr>
        <w:t>Modalidades por régimen</w:t>
      </w:r>
    </w:p>
    <w:p>
      <w:pPr>
        <w:pStyle w:val="Normal"/>
        <w:spacing w:lineRule="auto" w:line="240" w:before="0" w:after="60"/>
        <w:jc w:val="center"/>
        <w:rPr/>
      </w:pPr>
      <w:r>
        <w:rPr/>
        <w:drawing>
          <wp:inline distT="0" distB="0" distL="0" distR="0">
            <wp:extent cx="5577840" cy="3222625"/>
            <wp:effectExtent l="0" t="0" r="0" b="0"/>
            <wp:docPr id="3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 w:line="240" w:before="180" w:after="60"/>
        <w:rPr/>
      </w:pPr>
      <w:bookmarkStart w:id="21" w:name="__RefHeading___Toc3640_1895474408"/>
      <w:bookmarkEnd w:id="21"/>
      <w:r>
        <w:rPr>
          <w:b/>
          <w:sz w:val="22"/>
        </w:rPr>
        <w:t>Arquitectura operacional Spark-native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TRAIN/INFERENCE admiten un master Spark configurable. Cuando source.type=spark_sql, el conector devuelve un Spark DataFrame y el mapping, validación, preprocesamiento, feature engineering y MLlib permanecen en Spark sin toPandas(). Las medianas por objeto aprendidas en TRAIN se persisten como Parquet distribuido y los rankings de INFERENCE se escriben también como Parquet distribuido.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Esta frontera mantiene el corpus contractual distribuido y evita materializarlo en pandas o en la memoria del driver. No sustituye las pruebas de carga, particionamiento, seguridad, rendimiento y robustez que deben ejecutarse con el clúster y volumen institucionales reales.</w:t>
      </w:r>
    </w:p>
    <w:p>
      <w:pPr>
        <w:pStyle w:val="Heading2"/>
        <w:spacing w:lineRule="auto" w:line="240" w:before="180" w:after="60"/>
        <w:rPr/>
      </w:pPr>
      <w:bookmarkStart w:id="22" w:name="__RefHeading___Toc3642_1895474408"/>
      <w:bookmarkEnd w:id="22"/>
      <w:r>
        <w:rPr>
          <w:b/>
          <w:sz w:val="22"/>
        </w:rPr>
        <w:t>Limitación institucional</w:t>
      </w:r>
    </w:p>
    <w:p>
      <w:pPr>
        <w:pStyle w:val="Normal"/>
        <w:spacing w:lineRule="auto" w:line="240" w:before="0" w:after="60"/>
        <w:jc w:val="both"/>
        <w:rPr/>
      </w:pPr>
      <w:r>
        <w:rPr>
          <w:sz w:val="22"/>
        </w:rPr>
        <w:t>El cierre literal con pagos SIAF/SEACE, tablas/vistas reales, ground truth, permisos, clúster, DEV/QA/PROD, SQL Server/SSRS, certificación y conformidad depende de la CGR y permanece registrado en el catálogo de dependencias institucionales.</w:t>
      </w:r>
    </w:p>
    <w:p>
      <w:pPr>
        <w:pStyle w:val="Heading1"/>
        <w:spacing w:lineRule="exact" w:line="240" w:before="240" w:after="120"/>
        <w:rPr/>
      </w:pPr>
      <w:bookmarkStart w:id="23" w:name="__RefHeading___Toc3644_1895474408"/>
      <w:bookmarkEnd w:id="23"/>
      <w:r>
        <w:rPr>
          <w:rFonts w:eastAsia="Arial" w:cs="Arial"/>
          <w:b/>
          <w:bCs/>
          <w:color w:val="000000"/>
          <w:sz w:val="22"/>
          <w:szCs w:val="22"/>
        </w:rPr>
        <w:t>Referencias Bibliográficas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Contraloría General de la República. Términos de Referencia de la consultoría del Proyecto Interno 1.8.2, mayo de 2026.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Open Contracting Partnership. Open Contracting Data Standard (OCDS) y publicación de datos abiertos utilizada por el prototipo.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Organismo Especializado para las Contrataciones Públicas Eficientes (OECE). Datos abiertos de contratación pública empleados en la validación independiente.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Apache Software Foundation. Documentación de Apache Spark y Spark MLlib.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scikit-learn developers. Documentación de scikit-learn para clasificación, validación y detección de anomalías.</w:t>
      </w:r>
    </w:p>
    <w:p>
      <w:pPr>
        <w:pStyle w:val="ListParagraph"/>
        <w:numPr>
          <w:ilvl w:val="0"/>
          <w:numId w:val="1"/>
        </w:numPr>
        <w:spacing w:lineRule="exact" w:line="240" w:before="0" w:after="50"/>
        <w:rPr/>
      </w:pPr>
      <w:r>
        <w:rPr>
          <w:rFonts w:eastAsia="Arial" w:cs="Arial"/>
          <w:color w:val="000000"/>
          <w:sz w:val="22"/>
          <w:szCs w:val="22"/>
        </w:rPr>
        <w:t>Lundberg, S. M. y Lee, S.-I. A Unified Approach to Interpreting Model Predictions. 2017.</w:t>
      </w:r>
    </w:p>
    <w:sectPr>
      <w:headerReference w:type="default" r:id="rId8"/>
      <w:footerReference w:type="default" r:id="rId9"/>
      <w:footerReference w:type="first" r:id="rId10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right"/>
      <w:rPr/>
    </w:pPr>
    <w:r>
      <w:rPr>
        <w:rFonts w:eastAsia="Arial" w:cs="Arial"/>
        <w:color w:val="000000"/>
        <w:sz w:val="22"/>
        <w:szCs w:val="22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30"/>
      <w:jc w:val="right"/>
      <w:rPr/>
    </w:pPr>
    <w:r>
      <w:rPr>
        <w:rFonts w:eastAsia="Arial" w:cs="Arial"/>
        <w:color w:val="666666"/>
        <w:sz w:val="22"/>
        <w:szCs w:val="22"/>
      </w:rPr>
      <w:t>Selección del Algoritmo y Modelo para Detección de Posible Fraccionamiento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  <w:mirrorMargins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exact" w:line="240" w:before="240" w:after="120"/>
      <w:outlineLvl w:val="0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lineRule="exact" w:line="240" w:before="180" w:after="8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IndexHeading">
    <w:name w:val="Index Heading"/>
    <w:basedOn w:val="Heading"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Index1">
    <w:name w:val="Index 1"/>
    <w:basedOn w:val="Index"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Index2">
    <w:name w:val="Index 2"/>
    <w:basedOn w:val="Index"/>
    <w:pPr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Index3">
    <w:name w:val="Index 3"/>
    <w:basedOn w:val="Index"/>
    <w:pPr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IndexSeparator">
    <w:name w:val="Index Separator"/>
    <w:basedOn w:val="Index"/>
    <w:qFormat/>
    <w:pPr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Heading">
    <w:name w:val="TOC Heading"/>
    <w:basedOn w:val="IndexHeading"/>
    <w:qFormat/>
    <w:pPr>
      <w:suppressLineNumbers/>
      <w:spacing w:lineRule="auto" w:line="240" w:before="0" w:after="0"/>
      <w:ind w:hanging="0" w:left="0"/>
    </w:pPr>
    <w:rPr>
      <w:rFonts w:ascii="Arial" w:hAnsi="Arial" w:eastAsia="Arial" w:cs="Arial"/>
      <w:b/>
      <w:bCs/>
      <w:sz w:val="22"/>
      <w:szCs w:val="22"/>
    </w:rPr>
  </w:style>
  <w:style w:type="paragraph" w:styleId="TOC1">
    <w:name w:val="TOC 1"/>
    <w:basedOn w:val="Index"/>
    <w:pPr>
      <w:tabs>
        <w:tab w:val="clear" w:pos="720"/>
        <w:tab w:val="right" w:pos="9026" w:leader="dot"/>
      </w:tabs>
      <w:spacing w:lineRule="auto" w:line="240" w:before="0" w:after="0"/>
      <w:ind w:hanging="0" w:left="0"/>
    </w:pPr>
    <w:rPr>
      <w:rFonts w:ascii="Arial" w:hAnsi="Arial" w:eastAsia="Arial" w:cs="Arial"/>
      <w:sz w:val="22"/>
      <w:szCs w:val="22"/>
    </w:rPr>
  </w:style>
  <w:style w:type="paragraph" w:styleId="TOC2">
    <w:name w:val="TOC 2"/>
    <w:basedOn w:val="Index"/>
    <w:pPr>
      <w:tabs>
        <w:tab w:val="clear" w:pos="720"/>
        <w:tab w:val="right" w:pos="8743" w:leader="dot"/>
      </w:tabs>
      <w:spacing w:lineRule="auto" w:line="240" w:before="0" w:after="0"/>
      <w:ind w:hanging="0" w:left="283"/>
    </w:pPr>
    <w:rPr>
      <w:rFonts w:ascii="Arial" w:hAnsi="Arial" w:eastAsia="Arial" w:cs="Arial"/>
      <w:sz w:val="22"/>
      <w:szCs w:val="22"/>
    </w:rPr>
  </w:style>
  <w:style w:type="paragraph" w:styleId="TOC3">
    <w:name w:val="TOC 3"/>
    <w:basedOn w:val="Index"/>
    <w:pPr>
      <w:tabs>
        <w:tab w:val="clear" w:pos="720"/>
        <w:tab w:val="right" w:pos="8459" w:leader="dot"/>
      </w:tabs>
      <w:spacing w:lineRule="auto" w:line="240" w:before="0" w:after="0"/>
      <w:ind w:hanging="0" w:left="567"/>
    </w:pPr>
    <w:rPr>
      <w:rFonts w:ascii="Arial" w:hAnsi="Arial" w:eastAsia="Arial" w:cs="Arial"/>
      <w:sz w:val="22"/>
      <w:szCs w:val="22"/>
    </w:rPr>
  </w:style>
  <w:style w:type="paragraph" w:styleId="TOC4">
    <w:name w:val="TOC 4"/>
    <w:basedOn w:val="Index"/>
    <w:pPr>
      <w:tabs>
        <w:tab w:val="clear" w:pos="720"/>
        <w:tab w:val="right" w:pos="8176" w:leader="dot"/>
      </w:tabs>
      <w:spacing w:lineRule="auto" w:line="240" w:before="0" w:after="0"/>
      <w:ind w:hanging="0" w:left="850"/>
    </w:pPr>
    <w:rPr>
      <w:rFonts w:ascii="Arial" w:hAnsi="Arial" w:eastAsia="Arial" w:cs="Arial"/>
      <w:sz w:val="22"/>
      <w:szCs w:val="22"/>
    </w:rPr>
  </w:style>
  <w:style w:type="paragraph" w:styleId="TOC5">
    <w:name w:val="TOC 5"/>
    <w:basedOn w:val="Index"/>
    <w:pPr>
      <w:tabs>
        <w:tab w:val="clear" w:pos="720"/>
        <w:tab w:val="right" w:pos="7892" w:leader="dot"/>
      </w:tabs>
      <w:spacing w:lineRule="auto" w:line="240" w:before="0" w:after="0"/>
      <w:ind w:hanging="0" w:left="1134"/>
    </w:pPr>
    <w:rPr>
      <w:rFonts w:ascii="Arial" w:hAnsi="Arial" w:eastAsia="Arial" w:cs="Arial"/>
      <w:sz w:val="22"/>
      <w:szCs w:val="22"/>
    </w:rPr>
  </w:style>
  <w:style w:type="paragraph" w:styleId="TOC6">
    <w:name w:val="TOC 6"/>
    <w:basedOn w:val="Index"/>
    <w:pPr>
      <w:tabs>
        <w:tab w:val="clear" w:pos="720"/>
        <w:tab w:val="right" w:pos="7609" w:leader="dot"/>
      </w:tabs>
      <w:spacing w:lineRule="auto" w:line="240" w:before="0" w:after="0"/>
      <w:ind w:hanging="0" w:left="1417"/>
    </w:pPr>
    <w:rPr>
      <w:rFonts w:ascii="Arial" w:hAnsi="Arial" w:eastAsia="Arial" w:cs="Arial"/>
      <w:sz w:val="22"/>
      <w:szCs w:val="22"/>
    </w:rPr>
  </w:style>
  <w:style w:type="paragraph" w:styleId="TOC7">
    <w:name w:val="TOC 7"/>
    <w:basedOn w:val="Index"/>
    <w:pPr>
      <w:tabs>
        <w:tab w:val="clear" w:pos="720"/>
        <w:tab w:val="right" w:pos="7325" w:leader="dot"/>
      </w:tabs>
      <w:spacing w:lineRule="auto" w:line="240" w:before="0" w:after="0"/>
      <w:ind w:hanging="0" w:left="1701"/>
    </w:pPr>
    <w:rPr>
      <w:rFonts w:ascii="Arial" w:hAnsi="Arial" w:eastAsia="Arial" w:cs="Arial"/>
      <w:sz w:val="22"/>
      <w:szCs w:val="22"/>
    </w:rPr>
  </w:style>
  <w:style w:type="paragraph" w:styleId="TOC8">
    <w:name w:val="TOC 8"/>
    <w:basedOn w:val="Index"/>
    <w:pPr>
      <w:tabs>
        <w:tab w:val="clear" w:pos="720"/>
        <w:tab w:val="right" w:pos="7042" w:leader="dot"/>
      </w:tabs>
      <w:spacing w:lineRule="auto" w:line="240" w:before="0" w:after="0"/>
      <w:ind w:hanging="0" w:left="1984"/>
    </w:pPr>
    <w:rPr>
      <w:rFonts w:ascii="Arial" w:hAnsi="Arial" w:eastAsia="Arial" w:cs="Arial"/>
      <w:sz w:val="22"/>
      <w:szCs w:val="22"/>
    </w:rPr>
  </w:style>
  <w:style w:type="paragraph" w:styleId="TOC9">
    <w:name w:val="TOC 9"/>
    <w:basedOn w:val="Index"/>
    <w:pPr>
      <w:tabs>
        <w:tab w:val="clear" w:pos="720"/>
        <w:tab w:val="right" w:pos="6758" w:leader="dot"/>
      </w:tabs>
      <w:spacing w:lineRule="auto" w:line="240" w:before="0" w:after="0"/>
      <w:ind w:hanging="0" w:left="2268"/>
    </w:pPr>
    <w:rPr>
      <w:rFonts w:ascii="Arial" w:hAnsi="Arial" w:eastAsia="Arial" w:cs="Arial"/>
      <w:sz w:val="22"/>
      <w:szCs w:val="22"/>
    </w:rPr>
  </w:style>
  <w:style w:type="paragraph" w:styleId="Contents10">
    <w:name w:val="Contents 10"/>
    <w:basedOn w:val="Index"/>
    <w:qFormat/>
    <w:pPr>
      <w:tabs>
        <w:tab w:val="clear" w:pos="720"/>
        <w:tab w:val="right" w:pos="6475" w:leader="dot"/>
      </w:tabs>
      <w:spacing w:lineRule="auto" w:line="240" w:before="0" w:after="0"/>
      <w:ind w:hanging="0" w:left="2551"/>
    </w:pPr>
    <w:rPr>
      <w:rFonts w:ascii="Arial" w:hAnsi="Arial" w:eastAsia="Arial" w:cs="Arial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FrameContents">
    <w:name w:val="Frame Contents"/>
    <w:basedOn w:val="Normal"/>
    <w:qFormat/>
    <w:pPr>
      <w:spacing w:lineRule="auto" w:line="240" w:before="0" w:after="0"/>
    </w:pPr>
    <w:rPr>
      <w:rFonts w:ascii="Arial" w:hAnsi="Arial" w:eastAsia="Arial" w:cs="Arial"/>
      <w:sz w:val="22"/>
      <w:szCs w:val="22"/>
    </w:rPr>
  </w:style>
  <w:style w:type="paragraph" w:styleId="ListContents">
    <w:name w:val="List Contents"/>
    <w:basedOn w:val="Normal"/>
    <w:qFormat/>
    <w:pPr>
      <w:spacing w:lineRule="auto" w:line="240" w:before="0" w:after="0"/>
      <w:ind w:left="567"/>
    </w:pPr>
    <w:rPr>
      <w:rFonts w:ascii="Arial" w:hAnsi="Arial" w:eastAsia="Arial" w:cs="Arial"/>
      <w:sz w:val="22"/>
      <w:szCs w:val="22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2026-10-12T18:33:46Z</dcterms:created>
  <dc:creator>Noé Calle</dc:creator>
  <dc:description>PROTOTIPO INDEPENDIENTE - no constituye una implementación oficial ni cuenta con aprobación institucional de la CGR.</dc:description>
  <dc:language>en-US</dc:language>
  <cp:lastModifiedBy/>
  <dcterms:modified xsi:type="dcterms:W3CDTF">2026-10-12T18:33:52Z</dcterms:modified>
  <cp:revision>2</cp:revision>
  <dc:subject/>
  <dc:title>Selección del Algoritmo y Modelo para Detección de Posible Fraccionamiento - Prototipo independiente CGR 1.8.2</dc:title>
</cp:coreProperties>
</file>