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400" w:after="0"/>
        <w:rPr/>
      </w:pPr>
      <w:r>
        <w:rPr/>
      </w:r>
    </w:p>
    <w:p>
      <w:pPr>
        <w:pStyle w:val="Normal"/>
        <w:keepNext w:val="false"/>
        <w:spacing w:lineRule="exact" w:line="240" w:before="0" w:after="1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CONTRALORÍA GENERAL DE LA REPÚBLICA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[Espacio reservado para el logo oficial CGR en una entrega institucional autorizada]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PRODUCTO N.° 7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Informe Final de la Consultoría - Prototipo Independiente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Nombre de la consultoría: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color w:val="000000"/>
          <w:sz w:val="22"/>
          <w:szCs w:val="22"/>
        </w:rPr>
        <w:t>CONTRATACIÓN DE UN CONSULTOR CIENTÍFICO DE DATOS PARA EL DESARROLLO DEL "MÓDULO DE ANÁLISIS DE DATOS PARA DAR SOPORTE A LOS AUDITORES DURANTE LA EJECUCIÓN DE LOS SERVICIOS DE CONTROL" EN EL SISTEMA INTEGRADO DE CONTROL DEL PROYECTO INTERNO 1.8.2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Consultor: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Noé Calle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PROTOTIPO INDEPENDIENTE - no constituye una implementación oficial ni cuenta con aprobación institucional de la CGR.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Repositorio de código y documentación: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https://github.com/NoeCalle/cgr-analisis-datos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keepNext w:val="false"/>
        <w:spacing w:lineRule="exact" w:line="240" w:before="0" w:after="80"/>
        <w:jc w:val="center"/>
        <w:rPr/>
      </w:pPr>
      <w:r>
        <w:rPr>
          <w:rFonts w:eastAsia="Arial" w:cs="Arial"/>
          <w:color w:val="000000"/>
          <w:sz w:val="22"/>
          <w:szCs w:val="22"/>
        </w:rPr>
        <w:t>Fecha de presentación: agosto de 2026</w:t>
      </w:r>
    </w:p>
    <w:p>
      <w:pPr>
        <w:pStyle w:val="Heading1"/>
        <w:spacing w:lineRule="exact" w:line="240" w:before="240" w:after="120"/>
        <w:rPr/>
      </w:pPr>
      <w:bookmarkStart w:id="0" w:name="__RefHeading___Toc4101_1895474408"/>
      <w:bookmarkEnd w:id="0"/>
      <w:r>
        <w:rPr>
          <w:rFonts w:eastAsia="Arial" w:cs="Arial"/>
          <w:b/>
          <w:bCs/>
          <w:color w:val="000000"/>
          <w:sz w:val="22"/>
          <w:szCs w:val="22"/>
        </w:rPr>
        <w:t>Resumen Ejecutivo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prototipo integra datos mediante un esquema canónico, aplica quality gates, construye señales de posible favoritismo y fraccionamiento, ejecuta Random Forest y KMeans con Apache Spark MLlib, analiza vínculos con GraphFrames y separa evaluación, TRAIN, candidate, promoción, champion e INFERENCE. La documentación formal presenta como evidencia principal los modelos Spark servidos y conserva sklearn únicamente como benchmark/explicabilidad complementaria.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Nota metodológica: Las métricas obtenidas con el benchmark sintético verifican coherencia metodológica y funcionamiento reproducible del pipeline; no estiman por sí solas desempeño productivo. Las salidas son señales de priorización para revisión humana y no constituyen hallazgos ni determinaciones automáticas de irregularidad.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spacing w:lineRule="auto" w:line="240" w:before="0" w:after="0"/>
            <w:ind w:hanging="0" w:left="0"/>
            <w:rPr>
              <w:rFonts w:ascii="Arial" w:hAnsi="Arial" w:eastAsia="Arial" w:cs="Arial"/>
              <w:b/>
              <w:bCs/>
              <w:sz w:val="22"/>
              <w:szCs w:val="22"/>
            </w:rPr>
          </w:pPr>
          <w:r>
            <w:rPr>
              <w:rFonts w:eastAsia="Arial" w:cs="Arial"/>
              <w:b/>
              <w:bCs/>
              <w:sz w:val="22"/>
              <w:szCs w:val="22"/>
            </w:rPr>
            <w:t>Índice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4101_1895474408">
            <w:r>
              <w:rPr>
                <w:rStyle w:val="IndexLink"/>
              </w:rPr>
              <w:t>Resumen Ejecutivo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03_1895474408">
            <w:r>
              <w:rPr>
                <w:rStyle w:val="IndexLink"/>
              </w:rPr>
              <w:t>Índice de Tablas o Cuadros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05_1895474408">
            <w:r>
              <w:rPr>
                <w:rStyle w:val="IndexLink"/>
              </w:rPr>
              <w:t>Índice de Gráficos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07_1895474408">
            <w:r>
              <w:rPr>
                <w:rStyle w:val="IndexLink"/>
              </w:rPr>
              <w:t>Lista de Abreviaturas y Acrónimos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09_1895474408">
            <w:r>
              <w:rPr>
                <w:rStyle w:val="IndexLink"/>
              </w:rPr>
              <w:t>Glosario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11_1895474408">
            <w:r>
              <w:rPr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13_1895474408">
            <w:r>
              <w:rPr>
                <w:rStyle w:val="IndexLink"/>
              </w:rPr>
              <w:t>2. Objetivo de Consultoría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15_1895474408">
            <w:r>
              <w:rPr>
                <w:rStyle w:val="IndexLink"/>
              </w:rPr>
              <w:t>3. Productos Alcanzados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17_1895474408">
            <w:r>
              <w:rPr>
                <w:rStyle w:val="IndexLink"/>
              </w:rPr>
              <w:t>3.1 Arquitectura y modelos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19_1895474408">
            <w:r>
              <w:rPr>
                <w:rStyle w:val="IndexLink"/>
              </w:rPr>
              <w:t>3.2 Plan de monitoreo y mantenimiento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21_1895474408">
            <w:r>
              <w:rPr>
                <w:rStyle w:val="IndexLink"/>
              </w:rPr>
              <w:t>3.3 Pruebas de integración y operación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23_1895474408">
            <w:r>
              <w:rPr>
                <w:rStyle w:val="IndexLink"/>
              </w:rPr>
              <w:t>3.4 Reporting y transferencia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25_1895474408">
            <w:r>
              <w:rPr>
                <w:rStyle w:val="IndexLink"/>
              </w:rPr>
              <w:t>3.5 Certificación y marcha blanca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27_1895474408">
            <w:r>
              <w:rPr>
                <w:rStyle w:val="IndexLink"/>
              </w:rPr>
              <w:t>3.6 Dependencias institucionales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29_1895474408">
            <w:r>
              <w:rPr>
                <w:rStyle w:val="IndexLink"/>
              </w:rPr>
              <w:t>4. Conclusiones y Recomendaciones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31_1895474408">
            <w:r>
              <w:rPr>
                <w:rStyle w:val="IndexLink"/>
              </w:rPr>
              <w:t>5. Anexos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33_1895474408">
            <w:r>
              <w:rPr>
                <w:rStyle w:val="IndexLink"/>
              </w:rPr>
              <w:t>ANEXO TÉCNICO — PAGOS, MODALIDADES Y ARQUITECTURA OPERACIONAL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35_1895474408">
            <w:r>
              <w:rPr>
                <w:rStyle w:val="IndexLink"/>
              </w:rPr>
              <w:t>Resultados reproducibles de pagos y modalidades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37_1895474408">
            <w:r>
              <w:rPr>
                <w:rStyle w:val="IndexLink"/>
              </w:rPr>
              <w:t>Distribución de pagos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39_1895474408">
            <w:r>
              <w:rPr>
                <w:rStyle w:val="IndexLink"/>
              </w:rPr>
              <w:t>Modalidades por régimen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41_1895474408">
            <w:r>
              <w:rPr>
                <w:rStyle w:val="IndexLink"/>
              </w:rPr>
              <w:t>Arquitectura operacional Spark-native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143_1895474408">
            <w:r>
              <w:rPr>
                <w:rStyle w:val="IndexLink"/>
              </w:rPr>
              <w:t>Limitación institucional</w:t>
              <w:tab/>
              <w:t>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45_1895474408">
            <w:r>
              <w:rPr>
                <w:rStyle w:val="IndexLink"/>
              </w:rPr>
              <w:t>Referencias Bibliográficas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exact" w:line="240"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/>
      </w:r>
    </w:p>
    <w:p>
      <w:pPr>
        <w:pStyle w:val="Heading1"/>
        <w:spacing w:lineRule="exact" w:line="240" w:before="240" w:after="120"/>
        <w:rPr/>
      </w:pPr>
      <w:bookmarkStart w:id="1" w:name="__RefHeading___Toc4103_1895474408"/>
      <w:bookmarkEnd w:id="1"/>
      <w:r>
        <w:rPr>
          <w:rFonts w:eastAsia="Arial" w:cs="Arial"/>
          <w:b/>
          <w:bCs/>
          <w:color w:val="000000"/>
          <w:sz w:val="22"/>
          <w:szCs w:val="22"/>
        </w:rPr>
        <w:t>Índice de Tablas o Cuadros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Resumen de modelos operacionales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Plan de monitoreo y mantenimiento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3. Cierre frente a dependencias institucionales</w:t>
      </w:r>
    </w:p>
    <w:p>
      <w:pPr>
        <w:pStyle w:val="Heading1"/>
        <w:spacing w:lineRule="exact" w:line="240" w:before="240" w:after="120"/>
        <w:rPr/>
      </w:pPr>
      <w:bookmarkStart w:id="2" w:name="__RefHeading___Toc4105_1895474408"/>
      <w:bookmarkEnd w:id="2"/>
      <w:r>
        <w:rPr>
          <w:rFonts w:eastAsia="Arial" w:cs="Arial"/>
          <w:b/>
          <w:bCs/>
          <w:color w:val="000000"/>
          <w:sz w:val="22"/>
          <w:szCs w:val="22"/>
        </w:rPr>
        <w:t>Índice de Gráficos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Diagrama del modelo de datos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Red proveedor-funcionario sintética</w:t>
      </w:r>
    </w:p>
    <w:p>
      <w:pPr>
        <w:pStyle w:val="Heading1"/>
        <w:spacing w:lineRule="exact" w:line="240" w:before="240" w:after="120"/>
        <w:rPr/>
      </w:pPr>
      <w:bookmarkStart w:id="3" w:name="__RefHeading___Toc4107_1895474408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Lista de Abreviaturas y Acrónimos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799"/>
        <w:gridCol w:w="700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Precision-Recall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Receiver Operating Characteristic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CGR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Contraloría General de la República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continua (Continuous Integration)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Validación cruzada (Cross-Validation)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DAG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 acíclico dirigido (Directed Acyclic Graph)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Análisis exploratorio de datos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Extracción, transformación y carga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HDFS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Hadoop Distributed File System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Machine Learning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MLlib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Biblioteca de Machine Learning de Apache Spark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OCDS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Open Contracting Data Standard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OECE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Organismo Especializado para las Contrataciones Públicas Eficientes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Prueba de concepto (Proof of Concept)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Population Stability Index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SHapley Additive exPlanations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SSRS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 Reporting Services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TDR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Términos de Referencia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4" w:name="__RefHeading___Toc4109_1895474408"/>
      <w:bookmarkEnd w:id="4"/>
      <w:r>
        <w:rPr>
          <w:rFonts w:eastAsia="Arial" w:cs="Arial"/>
          <w:b/>
          <w:bCs/>
          <w:color w:val="000000"/>
          <w:sz w:val="22"/>
          <w:szCs w:val="22"/>
        </w:rPr>
        <w:t>Glosario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500"/>
        <w:gridCol w:w="629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Definición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sintético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Conjunto de datos artificial con casos sembrados, usado para verificar el comportamiento del prototipo sin asumir desempeño productivo.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Feature engineering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Creación o transformación de variables analíticas a partir de los datos de origen.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Etiqueta de referencia usada para evaluar un modelo. En el PoC las etiquetas son sintéticas; el ground truth real requiere validación institucional.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Hard negative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Caso negativo diseñado para parecerse a un positivo y evitar una separación artificialmente trivial.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Partición reservada que no participa en el ajuste de parámetros y se usa para una evaluación independiente.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Lakehouse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Arquitectura que combina almacenamiento de datos a escala con capacidades de gestión y consulta analítica.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 de priorización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Indicador para ordenar casos que merecen revisión humana; no constituye por sí mismo un hallazgo ni una determinación jurídica.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5" w:name="__RefHeading___Toc4111_1895474408"/>
      <w:bookmarkEnd w:id="5"/>
      <w:r>
        <w:rPr>
          <w:rFonts w:eastAsia="Arial" w:cs="Arial"/>
          <w:b/>
          <w:bCs/>
          <w:color w:val="000000"/>
          <w:sz w:val="22"/>
          <w:szCs w:val="22"/>
        </w:rPr>
        <w:t>1. Introducción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Este informe consolida el estado funcional de la herramienta y las decisiones técnicas que permiten reproducirla. La historia de correcciones se conserva en Git/PR y no forma parte de la descripción principal del sistema.</w:t>
      </w:r>
    </w:p>
    <w:p>
      <w:pPr>
        <w:pStyle w:val="Heading1"/>
        <w:spacing w:lineRule="exact" w:line="240" w:before="240" w:after="120"/>
        <w:rPr/>
      </w:pPr>
      <w:bookmarkStart w:id="6" w:name="__RefHeading___Toc4113_1895474408"/>
      <w:bookmarkEnd w:id="6"/>
      <w:r>
        <w:rPr>
          <w:rFonts w:eastAsia="Arial" w:cs="Arial"/>
          <w:b/>
          <w:bCs/>
          <w:color w:val="000000"/>
          <w:sz w:val="22"/>
          <w:szCs w:val="22"/>
        </w:rPr>
        <w:t>2. Objetivo de Consultoría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TDR tomado como referencia plantea disponer datos procesados y filtrados de fuentes externas e internas y desarrollar modelos de Machine Learning que permitan identificar casos atípicos y patrones de riesgo relevantes para la labor del auditor. Este repositorio demuestra ese objetivo como prototipo independiente y reproducible, sin atribuirse aprobación o despliegue institucional CGR.</w:t>
      </w:r>
    </w:p>
    <w:p>
      <w:pPr>
        <w:pStyle w:val="Heading1"/>
        <w:spacing w:lineRule="exact" w:line="240" w:before="240" w:after="120"/>
        <w:rPr/>
      </w:pPr>
      <w:bookmarkStart w:id="7" w:name="__RefHeading___Toc4115_1895474408"/>
      <w:bookmarkEnd w:id="7"/>
      <w:r>
        <w:rPr>
          <w:rFonts w:eastAsia="Arial" w:cs="Arial"/>
          <w:b/>
          <w:bCs/>
          <w:color w:val="000000"/>
          <w:sz w:val="22"/>
          <w:szCs w:val="22"/>
        </w:rPr>
        <w:t>3. Productos Alcanzados</w:t>
      </w:r>
    </w:p>
    <w:p>
      <w:pPr>
        <w:pStyle w:val="Heading2"/>
        <w:spacing w:lineRule="exact" w:line="240" w:before="180" w:after="80"/>
        <w:rPr/>
      </w:pPr>
      <w:bookmarkStart w:id="8" w:name="__RefHeading___Toc4117_1895474408"/>
      <w:bookmarkEnd w:id="8"/>
      <w:r>
        <w:rPr>
          <w:rFonts w:eastAsia="Arial" w:cs="Arial"/>
          <w:b/>
          <w:bCs/>
          <w:color w:val="000000"/>
          <w:sz w:val="22"/>
          <w:szCs w:val="22"/>
        </w:rPr>
        <w:t>3.1 Arquitectura y modelos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1. Resumen de modelos operacionales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200"/>
        <w:gridCol w:w="3300"/>
        <w:gridCol w:w="3300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Caso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Modelo servido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Evaluación principal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Favoritismo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RandomForestClassificationModel - Spark MLlib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 holdout 1.000; recall@K 1.000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Fraccionamiento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StandardScaler + KMeans (k=3) - Spark MLlib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 holdout 0.323; recall@K 0.429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GraphFrames / NetworkX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Señales de vínculo para revisión humana.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ruta spark_sql mantiene DataFrames Spark en integración, validación, preprocesamiento, evaluación, TRAIN e INFERENCE y publica rankings distribuidos en Parquet.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1. Diagrama del modelo de datos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429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2"/>
        <w:spacing w:lineRule="exact" w:line="240" w:before="180" w:after="80"/>
        <w:rPr/>
      </w:pPr>
      <w:bookmarkStart w:id="9" w:name="__RefHeading___Toc4119_1895474408"/>
      <w:bookmarkEnd w:id="9"/>
      <w:r>
        <w:rPr>
          <w:rFonts w:eastAsia="Arial" w:cs="Arial"/>
          <w:b/>
          <w:bCs/>
          <w:color w:val="000000"/>
          <w:sz w:val="22"/>
          <w:szCs w:val="22"/>
        </w:rPr>
        <w:t>3.2 Plan de monitoreo y mantenimiento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2. Plan de monitoreo y mantenimiento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999"/>
        <w:gridCol w:w="5800"/>
      </w:tblGrid>
      <w:tr>
        <w:trPr>
          <w:tblHeader w:val="true"/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Tratamiento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Calidad de datos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Quality gates de esquema, unicidad, integridad referencial y rangos estructurales.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Drift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 sobre features y distribución de score de fraccionamiento.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Desempeño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Recall@K cuando existe ground truth nuevo y validado.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Reentrenamiento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Genera candidate; requiere evaluación y no se promueve automáticamente.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Integridad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SHA-256 antes/después de INFERENCE y promoción versionada.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Normativa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Cuantías versionadas por fecha/categoría y regresiones automáticas.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monitor se liga al champion activo del registry. Promoción automática: deshabilitada.</w:t>
      </w:r>
    </w:p>
    <w:p>
      <w:pPr>
        <w:pStyle w:val="Heading2"/>
        <w:spacing w:lineRule="exact" w:line="240" w:before="180" w:after="80"/>
        <w:rPr/>
      </w:pPr>
      <w:bookmarkStart w:id="10" w:name="__RefHeading___Toc4121_1895474408"/>
      <w:bookmarkEnd w:id="10"/>
      <w:r>
        <w:rPr>
          <w:rFonts w:eastAsia="Arial" w:cs="Arial"/>
          <w:b/>
          <w:bCs/>
          <w:color w:val="000000"/>
          <w:sz w:val="22"/>
          <w:szCs w:val="22"/>
        </w:rPr>
        <w:t>3.3 Pruebas de integración y operación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Las pruebas de integración del repositorio cubren CI, Spark MLlib, GraphFrames, candidate/champion, inference, calidad de datos, generación documental y reporting local. Las pruebas de integración DEV/QA/PROD, carga, concurrencia, skew, seguridad y operación real requieren infraestructura institucional.</w:t>
      </w:r>
    </w:p>
    <w:p>
      <w:pPr>
        <w:pStyle w:val="Heading2"/>
        <w:spacing w:lineRule="exact" w:line="240" w:before="180" w:after="80"/>
        <w:rPr/>
      </w:pPr>
      <w:bookmarkStart w:id="11" w:name="__RefHeading___Toc4123_1895474408"/>
      <w:bookmarkEnd w:id="11"/>
      <w:r>
        <w:rPr>
          <w:rFonts w:eastAsia="Arial" w:cs="Arial"/>
          <w:b/>
          <w:bCs/>
          <w:color w:val="000000"/>
          <w:sz w:val="22"/>
          <w:szCs w:val="22"/>
        </w:rPr>
        <w:t>3.4 Reporting y transferencia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contrato SQL Server/SSRS se entrega como DDL, vistas, roles de referencia y RDL con Shared Data Source. La Transferencia de conocimiento se apoya en README, documentación técnica, diccionario, linaje, manifests y Productos 1-7; las sesiones y actas formales requieren participantes CGR.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2. Red proveedor-funcionario sintética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9052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2"/>
        <w:spacing w:lineRule="exact" w:line="240" w:before="180" w:after="80"/>
        <w:rPr/>
      </w:pPr>
      <w:bookmarkStart w:id="12" w:name="__RefHeading___Toc4125_1895474408"/>
      <w:bookmarkEnd w:id="12"/>
      <w:r>
        <w:rPr>
          <w:rFonts w:eastAsia="Arial" w:cs="Arial"/>
          <w:b/>
          <w:bCs/>
          <w:color w:val="000000"/>
          <w:sz w:val="22"/>
          <w:szCs w:val="22"/>
        </w:rPr>
        <w:t>3.5 Certificación y marcha blanca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certificación funcional, levantamiento de incidencias y marcha blanca no pueden acreditarse desde el repositorio público. Requieren usuarios, ambientes, fuentes y criterios de aceptación institucionales.</w:t>
      </w:r>
    </w:p>
    <w:p>
      <w:pPr>
        <w:pStyle w:val="Heading2"/>
        <w:spacing w:lineRule="exact" w:line="240" w:before="180" w:after="80"/>
        <w:rPr/>
      </w:pPr>
      <w:bookmarkStart w:id="13" w:name="__RefHeading___Toc4127_1895474408"/>
      <w:bookmarkEnd w:id="13"/>
      <w:r>
        <w:rPr>
          <w:rFonts w:eastAsia="Arial" w:cs="Arial"/>
          <w:b/>
          <w:bCs/>
          <w:color w:val="000000"/>
          <w:sz w:val="22"/>
          <w:szCs w:val="22"/>
        </w:rPr>
        <w:t>3.6 Dependencias institucionales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3. Cierre frente a dependencias institucionales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3600"/>
        <w:gridCol w:w="5199"/>
      </w:tblGrid>
      <w:tr>
        <w:trPr>
          <w:tblHeader w:val="true"/>
          <w:cantSplit w:val="true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Área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Software reproducible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Implementado y validado por CI.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 real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Dependencia institucional.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Spark/almacenamiento CGR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Dependencia institucional para performance y robustez.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DEV/QA/PROD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Dependencia institucional.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Server/SSRS institucional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Contrato preparado; ejecución institucional pendiente.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Certificación / marcha blanca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Dependencia institucional.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14" w:name="__RefHeading___Toc4129_1895474408"/>
      <w:bookmarkEnd w:id="14"/>
      <w:r>
        <w:rPr>
          <w:rFonts w:eastAsia="Arial" w:cs="Arial"/>
          <w:b/>
          <w:bCs/>
          <w:color w:val="000000"/>
          <w:sz w:val="22"/>
          <w:szCs w:val="22"/>
        </w:rPr>
        <w:t>4. Conclusiones y Recomendaciones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herramienta queda documentada como un sistema de priorización reproducible: esquema canónico, preprocesador congelado, modelos Spark con evaluación propia, registry versionado, promoción explícita, inference sin retraining y monitoreo ligado al champion. El siguiente nivel de evidencia requiere ground truth, infraestructura y validación funcional CGR; no debe inferirse producción certificada a partir de los resultados sintéticos.</w:t>
      </w:r>
    </w:p>
    <w:p>
      <w:pPr>
        <w:pStyle w:val="Heading1"/>
        <w:spacing w:lineRule="exact" w:line="240" w:before="240" w:after="120"/>
        <w:rPr/>
      </w:pPr>
      <w:bookmarkStart w:id="15" w:name="__RefHeading___Toc4131_1895474408"/>
      <w:bookmarkEnd w:id="15"/>
      <w:r>
        <w:rPr>
          <w:rFonts w:eastAsia="Arial" w:cs="Arial"/>
          <w:b/>
          <w:bCs/>
          <w:color w:val="000000"/>
          <w:sz w:val="22"/>
          <w:szCs w:val="22"/>
        </w:rPr>
        <w:t>5. Anexos</w:t>
      </w:r>
    </w:p>
    <w:p>
      <w:pPr>
        <w:pStyle w:val="ListParagraph"/>
        <w:numPr>
          <w:ilvl w:val="0"/>
          <w:numId w:val="3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Repositorio, código y documentación técnica: https://github.com/NoeCalle/cgr-analisis-datos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Fuente machine-readable de cifras documentales: outputs/evidencia_documental.json.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Trazabilidad: outputs/run_manifest.json, outputs/linaje_datos.csv y outputs/model_registry.json.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Arquitectura MLOps: docs/Arquitectura_MLOps.md.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Spark y performance: docs/Evaluacion_Spark_y_Performance.md.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Validación OCDS: 47,254 contratos analíticos con award/supplier resoluble.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GraphFrames: 280 vértices y 3130 aristas en evidencia sintética.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Dependencias institucionales: docs/Dependencias_Institucionales_CGR.md.</w:t>
      </w:r>
    </w:p>
    <w:p>
      <w:pPr>
        <w:pStyle w:val="Heading1"/>
        <w:spacing w:lineRule="auto" w:line="240" w:before="240" w:after="60"/>
        <w:rPr/>
      </w:pPr>
      <w:bookmarkStart w:id="16" w:name="__RefHeading___Toc4133_1895474408"/>
      <w:bookmarkEnd w:id="16"/>
      <w:r>
        <w:rPr>
          <w:b/>
          <w:sz w:val="22"/>
        </w:rPr>
        <w:t>ANEXO TÉCNICO — PAGOS, MODALIDADES Y ARQUITECTURA OPERACIONAL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Este anexo cubre el análisis estadístico/exploratorio de pagos, montos contractuales y modalidades y documenta la arquitectura operacional asociada. La evidencia de pagos usa datos sintéticos vinculados a contratos sintéticos; no representa información SIAF real ni determina la legalidad de una modalidad.</w:t>
      </w:r>
    </w:p>
    <w:p>
      <w:pPr>
        <w:pStyle w:val="Heading2"/>
        <w:spacing w:lineRule="auto" w:line="240" w:before="180" w:after="60"/>
        <w:rPr/>
      </w:pPr>
      <w:bookmarkStart w:id="17" w:name="__RefHeading___Toc4135_1895474408"/>
      <w:bookmarkEnd w:id="17"/>
      <w:r>
        <w:rPr>
          <w:b/>
          <w:sz w:val="22"/>
        </w:rPr>
        <w:t>Resultados reproducibles de pagos y modalidades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Indicador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Resultado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sintéticos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7790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analizados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4296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huérfanos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con pago parcial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515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pendientes sin pago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261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Señales de sobrepago a revisar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93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Demora P90 devengado→pagado (días)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28.0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especiales no inferibles solo por cuantía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1601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que requieren revisión de contexto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1565</w:t>
            </w:r>
          </w:p>
        </w:tc>
      </w:tr>
    </w:tbl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La comparación de modalidades frente a cuantía es únicamente referencial. Contratación Directa, Comparación de Precios, Subasta Inversa, acuerdos marco y otros supuestos pueden depender de condiciones que no se deducen del monto por sí solo; 'requiere revisión de contexto' no equivale a irregularidad.</w:t>
      </w:r>
    </w:p>
    <w:p>
      <w:pPr>
        <w:pStyle w:val="Heading2"/>
        <w:spacing w:lineRule="auto" w:line="240" w:before="180" w:after="60"/>
        <w:rPr/>
      </w:pPr>
      <w:bookmarkStart w:id="18" w:name="__RefHeading___Toc4137_1895474408"/>
      <w:bookmarkEnd w:id="18"/>
      <w:r>
        <w:rPr>
          <w:b/>
          <w:sz w:val="22"/>
        </w:rPr>
        <w:t>Distribución de pagos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150235"/>
            <wp:effectExtent l="0" t="0" r="0" b="0"/>
            <wp:docPr id="3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19" w:name="__RefHeading___Toc4139_1895474408"/>
      <w:bookmarkEnd w:id="19"/>
      <w:r>
        <w:rPr>
          <w:b/>
          <w:sz w:val="22"/>
        </w:rPr>
        <w:t>Modalidades por régimen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222625"/>
            <wp:effectExtent l="0" t="0" r="0" b="0"/>
            <wp:docPr id="4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0" w:name="__RefHeading___Toc4141_1895474408"/>
      <w:bookmarkEnd w:id="20"/>
      <w:r>
        <w:rPr>
          <w:b/>
          <w:sz w:val="22"/>
        </w:rPr>
        <w:t>Arquitectura operacional Spark-native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TRAIN/INFERENCE admiten un master Spark configurable. Cuando source.type=spark_sql, el conector devuelve un Spark DataFrame y el mapping, validación, preprocesamiento, feature engineering y MLlib permanecen en Spark sin toPandas(). Las medianas por objeto aprendidas en TRAIN se persisten como Parquet distribuido y los rankings de INFERENCE se escriben también como Parquet distribuido.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Esta frontera mantiene el corpus contractual distribuido y evita materializarlo en pandas o en la memoria del driver. No sustituye las pruebas de carga, particionamiento, seguridad, rendimiento y robustez que deben ejecutarse con el clúster y volumen institucionales reales.</w:t>
      </w:r>
    </w:p>
    <w:p>
      <w:pPr>
        <w:pStyle w:val="Heading2"/>
        <w:spacing w:lineRule="auto" w:line="240" w:before="180" w:after="60"/>
        <w:rPr/>
      </w:pPr>
      <w:bookmarkStart w:id="21" w:name="__RefHeading___Toc4143_1895474408"/>
      <w:bookmarkEnd w:id="21"/>
      <w:r>
        <w:rPr>
          <w:b/>
          <w:sz w:val="22"/>
        </w:rPr>
        <w:t>Limitación institucional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El cierre literal con pagos SIAF/SEACE, tablas/vistas reales, ground truth, permisos, clúster, DEV/QA/PROD, SQL Server/SSRS, certificación y conformidad depende de la CGR y permanece registrado en el catálogo de dependencias institucionales.</w:t>
      </w:r>
    </w:p>
    <w:p>
      <w:pPr>
        <w:pStyle w:val="Heading1"/>
        <w:spacing w:lineRule="exact" w:line="240" w:before="240" w:after="120"/>
        <w:rPr/>
      </w:pPr>
      <w:bookmarkStart w:id="22" w:name="__RefHeading___Toc4145_1895474408"/>
      <w:bookmarkEnd w:id="22"/>
      <w:r>
        <w:rPr>
          <w:rFonts w:eastAsia="Arial" w:cs="Arial"/>
          <w:b/>
          <w:bCs/>
          <w:color w:val="000000"/>
          <w:sz w:val="22"/>
          <w:szCs w:val="22"/>
        </w:rPr>
        <w:t>Referencias Bibliográficas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Contraloría General de la República. Términos de Referencia de la consultoría del Proyecto Interno 1.8.2, mayo de 2026.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Open Contracting Partnership. Open Contracting Data Standard (OCDS) y publicación de datos abiertos utilizada por el prototipo.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Organismo Especializado para las Contrataciones Públicas Eficientes (OECE). Datos abiertos de contratación pública empleados en la validación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Apache Software Foundation. Documentación de Apache Spark y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scikit-learn developers. Documentación de scikit-learn para clasificación, validación y detección de anomalías.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Lundberg, S. M. y Lee, S.-I. A Unified Approach to Interpreting Model Predictions. 2017.</w:t>
      </w:r>
    </w:p>
    <w:sectPr>
      <w:headerReference w:type="default" r:id="rId9"/>
      <w:footerReference w:type="default" r:id="rId10"/>
      <w:footerReference w:type="first" r:id="rId11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30"/>
      <w:jc w:val="right"/>
      <w:rPr/>
    </w:pPr>
    <w:r>
      <w:rPr>
        <w:rFonts w:eastAsia="Arial" w:cs="Arial"/>
        <w:color w:val="666666"/>
        <w:sz w:val="22"/>
        <w:szCs w:val="22"/>
      </w:rPr>
      <w:t>Informe Final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mirrorMargins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exact" w:line="240" w:before="240" w:after="120"/>
      <w:outlineLvl w:val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lineRule="exact" w:line="240" w:before="180" w:after="8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IndexHeading">
    <w:name w:val="Index Heading"/>
    <w:basedOn w:val="Heading"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Index1">
    <w:name w:val="Index 1"/>
    <w:basedOn w:val="Index"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Index2">
    <w:name w:val="Index 2"/>
    <w:basedOn w:val="Index"/>
    <w:pPr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Index3">
    <w:name w:val="Index 3"/>
    <w:basedOn w:val="Index"/>
    <w:pPr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IndexSeparator">
    <w:name w:val="Index Separator"/>
    <w:basedOn w:val="Index"/>
    <w:qFormat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Heading">
    <w:name w:val="TOC Heading"/>
    <w:basedOn w:val="IndexHeading"/>
    <w:qFormat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2">
    <w:name w:val="TOC 2"/>
    <w:basedOn w:val="Index"/>
    <w:pPr>
      <w:tabs>
        <w:tab w:val="clear" w:pos="720"/>
        <w:tab w:val="right" w:pos="8743" w:leader="dot"/>
      </w:tabs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TOC3">
    <w:name w:val="TOC 3"/>
    <w:basedOn w:val="Index"/>
    <w:pPr>
      <w:tabs>
        <w:tab w:val="clear" w:pos="720"/>
        <w:tab w:val="right" w:pos="8459" w:leader="dot"/>
      </w:tabs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TOC4">
    <w:name w:val="TOC 4"/>
    <w:basedOn w:val="Index"/>
    <w:pPr>
      <w:tabs>
        <w:tab w:val="clear" w:pos="720"/>
        <w:tab w:val="right" w:pos="8176" w:leader="dot"/>
      </w:tabs>
      <w:spacing w:lineRule="auto" w:line="240" w:before="0" w:after="0"/>
      <w:ind w:hanging="0" w:left="850"/>
    </w:pPr>
    <w:rPr>
      <w:rFonts w:ascii="Arial" w:hAnsi="Arial" w:eastAsia="Arial" w:cs="Arial"/>
      <w:sz w:val="22"/>
      <w:szCs w:val="22"/>
    </w:rPr>
  </w:style>
  <w:style w:type="paragraph" w:styleId="TOC5">
    <w:name w:val="TOC 5"/>
    <w:basedOn w:val="Index"/>
    <w:pPr>
      <w:tabs>
        <w:tab w:val="clear" w:pos="720"/>
        <w:tab w:val="right" w:pos="7892" w:leader="dot"/>
      </w:tabs>
      <w:spacing w:lineRule="auto" w:line="240" w:before="0" w:after="0"/>
      <w:ind w:hanging="0" w:left="1134"/>
    </w:pPr>
    <w:rPr>
      <w:rFonts w:ascii="Arial" w:hAnsi="Arial" w:eastAsia="Arial" w:cs="Arial"/>
      <w:sz w:val="22"/>
      <w:szCs w:val="22"/>
    </w:rPr>
  </w:style>
  <w:style w:type="paragraph" w:styleId="TOC6">
    <w:name w:val="TOC 6"/>
    <w:basedOn w:val="Index"/>
    <w:pPr>
      <w:tabs>
        <w:tab w:val="clear" w:pos="720"/>
        <w:tab w:val="right" w:pos="7609" w:leader="dot"/>
      </w:tabs>
      <w:spacing w:lineRule="auto" w:line="240" w:before="0" w:after="0"/>
      <w:ind w:hanging="0" w:left="1417"/>
    </w:pPr>
    <w:rPr>
      <w:rFonts w:ascii="Arial" w:hAnsi="Arial" w:eastAsia="Arial" w:cs="Arial"/>
      <w:sz w:val="22"/>
      <w:szCs w:val="22"/>
    </w:rPr>
  </w:style>
  <w:style w:type="paragraph" w:styleId="TOC7">
    <w:name w:val="TOC 7"/>
    <w:basedOn w:val="Index"/>
    <w:pPr>
      <w:tabs>
        <w:tab w:val="clear" w:pos="720"/>
        <w:tab w:val="right" w:pos="7325" w:leader="dot"/>
      </w:tabs>
      <w:spacing w:lineRule="auto" w:line="240" w:before="0" w:after="0"/>
      <w:ind w:hanging="0" w:left="1701"/>
    </w:pPr>
    <w:rPr>
      <w:rFonts w:ascii="Arial" w:hAnsi="Arial" w:eastAsia="Arial" w:cs="Arial"/>
      <w:sz w:val="22"/>
      <w:szCs w:val="22"/>
    </w:rPr>
  </w:style>
  <w:style w:type="paragraph" w:styleId="TOC8">
    <w:name w:val="TOC 8"/>
    <w:basedOn w:val="Index"/>
    <w:pPr>
      <w:tabs>
        <w:tab w:val="clear" w:pos="720"/>
        <w:tab w:val="right" w:pos="7042" w:leader="dot"/>
      </w:tabs>
      <w:spacing w:lineRule="auto" w:line="240" w:before="0" w:after="0"/>
      <w:ind w:hanging="0" w:left="1984"/>
    </w:pPr>
    <w:rPr>
      <w:rFonts w:ascii="Arial" w:hAnsi="Arial" w:eastAsia="Arial" w:cs="Arial"/>
      <w:sz w:val="22"/>
      <w:szCs w:val="22"/>
    </w:rPr>
  </w:style>
  <w:style w:type="paragraph" w:styleId="TOC9">
    <w:name w:val="TOC 9"/>
    <w:basedOn w:val="Index"/>
    <w:pPr>
      <w:tabs>
        <w:tab w:val="clear" w:pos="720"/>
        <w:tab w:val="right" w:pos="6758" w:leader="dot"/>
      </w:tabs>
      <w:spacing w:lineRule="auto" w:line="240" w:before="0" w:after="0"/>
      <w:ind w:hanging="0" w:left="2268"/>
    </w:pPr>
    <w:rPr>
      <w:rFonts w:ascii="Arial" w:hAnsi="Arial" w:eastAsia="Arial" w:cs="Arial"/>
      <w:sz w:val="22"/>
      <w:szCs w:val="22"/>
    </w:rPr>
  </w:style>
  <w:style w:type="paragraph" w:styleId="Contents10">
    <w:name w:val="Contents 10"/>
    <w:basedOn w:val="Index"/>
    <w:qFormat/>
    <w:pPr>
      <w:tabs>
        <w:tab w:val="clear" w:pos="720"/>
        <w:tab w:val="right" w:pos="6475" w:leader="dot"/>
      </w:tabs>
      <w:spacing w:lineRule="auto" w:line="240" w:before="0" w:after="0"/>
      <w:ind w:hanging="0" w:left="2551"/>
    </w:pPr>
    <w:rPr>
      <w:rFonts w:ascii="Arial" w:hAnsi="Arial" w:eastAsia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FrameContents">
    <w:name w:val="Frame Contents"/>
    <w:basedOn w:val="Normal"/>
    <w:qFormat/>
    <w:pPr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ListContents">
    <w:name w:val="List Contents"/>
    <w:basedOn w:val="Normal"/>
    <w:qFormat/>
    <w:pPr>
      <w:spacing w:lineRule="auto" w:line="240" w:before="0" w:after="0"/>
      <w:ind w:left="567"/>
    </w:pPr>
    <w:rPr>
      <w:rFonts w:ascii="Arial" w:hAnsi="Arial" w:eastAsia="Arial" w:cs="Arial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2026-10-12T18:33:46Z</dcterms:created>
  <dc:creator>Noé Calle</dc:creator>
  <dc:description>PROTOTIPO INDEPENDIENTE - no constituye una implementación oficial ni cuenta con aprobación institucional de la CGR.</dc:description>
  <dc:language>en-US</dc:language>
  <cp:lastModifiedBy/>
  <dcterms:modified xsi:type="dcterms:W3CDTF">2026-10-12T18:33:52Z</dcterms:modified>
  <cp:revision>2</cp:revision>
  <dc:subject/>
  <dc:title>Informe Final - Prototipo independiente CGR 1.8.2</dc:title>
</cp:coreProperties>
</file>