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07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evaluación Spark reserva 591 pares proveedor-entidad para holdout final antes de ajustar el preprocesador. El candidate TRAIN solo puede consumir evidencia del mismo fingerprint de corpus y no modifica el champion hasta una promoción explícita.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07_10054441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09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1_10054441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3_10054441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5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7_10054441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9_10054441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1_10054441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3_1005444171">
            <w:r>
              <w:rPr>
                <w:rStyle w:val="IndexLink"/>
              </w:rPr>
              <w:t>3.1 Diseño de evaluación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5_1005444171">
            <w:r>
              <w:rPr>
                <w:rStyle w:val="IndexLink"/>
              </w:rPr>
              <w:t>3.2 Candidate, champion y fingerprint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7_1005444171">
            <w:r>
              <w:rPr>
                <w:rStyle w:val="IndexLink"/>
              </w:rPr>
              <w:t>3.3 Explicabilidad complementaria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100544417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100544417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100544417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1005444171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7_1005444171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9_1005444171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1005444171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1005444171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1005444171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1005444171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1005444171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1005444171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09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holdout del Random Forest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Controles del ciclo de modelo</w:t>
      </w:r>
    </w:p>
    <w:p>
      <w:pPr>
        <w:pStyle w:val="Heading1"/>
        <w:spacing w:lineRule="exact" w:line="240" w:before="240" w:after="120"/>
        <w:rPr/>
      </w:pPr>
      <w:bookmarkStart w:id="2" w:name="__RefHeading___Toc2711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SHAP complementario de favoritismo</w:t>
      </w:r>
    </w:p>
    <w:p>
      <w:pPr>
        <w:pStyle w:val="Heading1"/>
        <w:spacing w:lineRule="exact" w:line="240" w:before="240" w:after="120"/>
        <w:rPr/>
      </w:pPr>
      <w:bookmarkStart w:id="3" w:name="__RefHeading___Toc2713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15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17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separación entre selección, evaluación final, TRAIN, candidate y champion, evitando leakage y cambios silenciosos de serving.</w:t>
      </w:r>
    </w:p>
    <w:p>
      <w:pPr>
        <w:pStyle w:val="Heading1"/>
        <w:spacing w:lineRule="exact" w:line="240" w:before="240" w:after="120"/>
        <w:rPr/>
      </w:pPr>
      <w:bookmarkStart w:id="6" w:name="__RefHeading___Toc2719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721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23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Diseño de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Desarrollo: 1,771 pares con 22 positivos. Holdout: 591 pares con 8 positivos. El holdout se reserva antes del FIT y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holdout del Random Forest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corresponden al benchmark sintético/local de la evidencia vigente. Una métrica alta valida el escenario de prueba, no garantiza generalización institucional.</w:t>
      </w:r>
    </w:p>
    <w:p>
      <w:pPr>
        <w:pStyle w:val="Heading2"/>
        <w:spacing w:lineRule="exact" w:line="240" w:before="180" w:after="80"/>
        <w:rPr/>
      </w:pPr>
      <w:bookmarkStart w:id="9" w:name="__RefHeading___Toc2725_10054441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Candidate, champion y fingerprint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Controles del ciclo de modelo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Fingerprint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 evidencia y TRAIN deben corresponder al mismo corpus canónico.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 genera artefactos candidatos y no cambia serving.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Operación separada, explícita y con verificación SHA-256.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 almacena/versiona como conjunto coherente de artefactos.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INFERENCE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consume labels, FIT ni tuning.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Rollback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Vuelve a un champion histórico cuyos hashes sean válidos.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0" w:name="__RefHeading___Toc2727_10054441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Explicabilidad complementaria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Resumen SHAP del benchmark sklearn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1" w:name="__RefHeading___Toc2729_10054441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del holdout antes del FIT del preprocesador.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CV/tuning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métricas agregadas y recall@K.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Vinculación de evaluación y TRAIN mediante fingerprint SHA-256.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candidate/champion con hashes y promoción explícita.</w:t>
      </w:r>
    </w:p>
    <w:p>
      <w:pPr>
        <w:pStyle w:val="Heading1"/>
        <w:spacing w:lineRule="exact" w:line="240" w:before="240" w:after="120"/>
        <w:rPr/>
      </w:pPr>
      <w:bookmarkStart w:id="12" w:name="__RefHeading___Toc2731_10054441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metodología de evaluación y el contrato MLOps están implementados. Los umbrales productivos y la autoridad de promoción deben ser definidos institucionalmente.</w:t>
      </w:r>
    </w:p>
    <w:p>
      <w:pPr>
        <w:pStyle w:val="Heading1"/>
        <w:spacing w:lineRule="exact" w:line="240" w:before="240" w:after="120"/>
        <w:rPr/>
      </w:pPr>
      <w:bookmarkStart w:id="13" w:name="__RefHeading___Toc2733_10054441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holdout sintético no reemplaza validación temporal o por segmentos sobre casos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aprobación de un modelo requiere criterios funcionales además de métricas estadísticas.</w:t>
      </w:r>
    </w:p>
    <w:p>
      <w:pPr>
        <w:pStyle w:val="Heading1"/>
        <w:spacing w:lineRule="exact" w:line="240" w:before="240" w:after="120"/>
        <w:rPr/>
      </w:pPr>
      <w:bookmarkStart w:id="14" w:name="__RefHeading___Toc2735_10054441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ciclo evita usar el holdout para selección y evita que TRAIN cambie el modelo servido. En una adopción CGR se debe mantener la misma separación y agregar gates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2737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2739_1005444171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2741_1005444171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2743_1005444171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2745_1005444171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747_1005444171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2749_1005444171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2751_1005444171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2026-08-12T13:53:36Z</dcterms:modified>
  <cp:revision>2</cp:revision>
  <dc:subject/>
  <dc:title>Entrenamiento y Validación del Modelo de Proveedores Favoritos - Prototipo independiente CGR 1.8.2</dc:title>
</cp:coreProperties>
</file>