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spacing w:after="140"/>
      </w:pPr>
      <w:r>
        <w:rPr>
          <w:sz w:val="21"/>
          <w:szCs w:val="21"/>
        </w:rPr>
        <w:t xml:space="preserve">Actualización: la orquestación de estas actividades se implementó y ejecutó realmente con Apache Airflow — dos DAGs reales (modulo_analisis_datos_1_8_2 y monitoreo_reentrenamiento_1_8_2), no solo planificados en este documento. Ver Producto 7, Sección 5, para el detalle y la evidencia de ejecución.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2026-08-07T20:39:18.969Z</dcterms:created>
  <dcterms:modified xsi:type="dcterms:W3CDTF">2026-08-07T20:39:18.969Z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