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evaluó y seleccionó un modelo Random Forest para la identificación de proveedores favoritos, por su balance entre precisión, interpretabilidad y bajo riesgo de sobreajuste con una clase positiva minoritaria (0.25% de los pares proveedor-entidad).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4.2.1 y 4.2.2 del TDR: diseño y selección de algoritmos de Machine Learning para la identificación de favoritismo mediante modelos de clasificación o de puntuación de riesgo.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patrones identificados: concentración de contratos en un subconjunto de proveedores (hasta 32 contratos por proveedor), predominancia de Adjudicación Simplificada (33%) y Comparación de Precios (29%) sobre modalidades competitivas.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estadístico de variables clave: distribución log-normal de montos, con 7.7% de contratos identificados como outliers por el método IQR.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Propuesta fundamentada: se evaluaron Regresión Logística, Gradient Boosting y Random Forest. Se eligió Random Forest por su robustez ante variables correlacionadas, su soporte nativo para pesos balanceados de clase, y su compatibilidad directa con RandomForestClassifier de Spark MLlib para escalamiento futuro.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Arquitectura: 300 árboles, profundidad máxima 6 (para limitar sobreajuste dado el tamaño de la clase positiva), class_weight='balanced'. Actualización: una búsqueda sistemática posterior (Producto 4) confirmó 100 árboles/profundidad 3 como igual de efectivo y ~65% más rápido de entrenar — arquitectura final ajustada en base a esa evidencia.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Reporte de implementación: implementado y ejecutado en scikit-learn Y en Spark MLlib real (pyspark.ml.classification.RandomForestClassifier) — no solo 'portable', sino corrido y verificado en ambas plataformas (ver Producto 7, Sección 4).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Parámetros de entrenamiento documentados en el código fuente (src/modelo_favoritismo.py y src/spark/modelo_favoritismo_spark.py).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 de algoritmos candidatos sobre el dataset del Producto 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Definición de la arquitectura final y sus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la lógica de negocio detrás de cada variable predictora.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 completó la selección y el diseño de arquitectura del modelo. La implementación se realizó en scikit-learn y posteriormente se ejecutó y validó en Spark MLlib real (ver Producto 7, Sección 4) — la migración ya no es una actividad pendiente.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Al momento de este producto no se había validado en Spark real; esto se resolvió en una etapa posterior (Producto 7) obteniendo los .jar necesarios directamente de Maven Central.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ofrece el mejor balance entre desempeño e interpretabilidad para este caso de uso. Se recomienda mantener esta elección en producción, complementada con SHAP (ver Producto 4) para sustentar hallazgos ante auditores.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2026-08-07T20:39:18.977Z</dcterms:created>
  <dcterms:modified xsi:type="dcterms:W3CDTF">2026-08-07T20:39:18.977Z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