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4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Entrenamiento y Validación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El modelo entrenado alcanzó AUC-ROC y AUC-PR de 1.00 en validación cruzada estratificada de 3 particiones, ubicando los 6 casos de favoritismo sembrados en las primeras 6 posiciones de un ranking de 2,354 pares proveedor-entidad. Se generaron artefactos de explicabilidad SHAP para sustentar hallazgos ante auditores.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de la consultoría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el numeral 4.2.5 del TDR (entrenamiento, validación cruzada, optimización de hiperparámetros) y el ítem 5 del checklist del Anexo 3 (interpretabilidad orientada a auditoría).</w:t>
      </w:r>
    </w:p>
    <w:p>
      <w:pPr>
        <w:pStyle w:val="Heading1"/>
        <w:spacing w:after="140" w:before="260"/>
      </w:pPr>
      <w:r>
        <w:t xml:space="preserve">2. Objetivo de la Consultoría</w:t>
      </w:r>
    </w:p>
    <w:p>
      <w:pPr>
        <w:spacing w:after="140"/>
      </w:pPr>
      <w:r>
        <w:rPr>
          <w:sz w:val="21"/>
          <w:szCs w:val="21"/>
        </w:rPr>
        <w:t xml:space="preserve">Desarrollar modelos de ciencia de datos y machine learning que permitan la identificación temprana de proveedores favorecidos, la detección de fraccionamiento indebido del gasto público, y la evaluación de vínculos impropios entre proveedores y funcionarios.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Métricas de evaluación (validación cruzada estratificada, 3 particiones): AUC-ROC = 1.00, AUC-PR = 1.00.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Registro de experimentos: validación cruzada estratificada elegida específicamente por la escasez de la clase positiva (6 de 2,354 registros), garantizando al menos 1-2 casos positivos por partición de prueba.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Ajuste de hiperparámetros: búsqueda sistemática en grilla (GridSearchCV, 60 combinaciones, validación cruzada estratificada de 3 particiones) confirmó que 100 árboles/profundidad 3 igualan el AUC-PR máximo (1.00) de la configuración original (300/6) con ~65% menos tiempo de entrenamiento. Confirmado de forma independiente con pyspark.ml.tuning.CrossValidator sobre Spark MLlib real: mismo resultado óptimo (100/3) en ambas plataformas.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Persistencia del modelo: outputs/models/modelo_favoritismo_rf.joblib (scikit-learn) y outputs/models/modelo_favoritismo_spark_rf/ (Spark MLlib real).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Análisis comparativo: desempeño perfecto sobre datos sintéticos con separación clara, reproducido de forma idéntica en Spark MLlib real (AUC-ROC 1.00, 6/6 casos en el top-6). Se documenta explícitamente que este resultado es esperable en datos sembrados y no debe interpretarse como el desempeño esperado sobre datos reales de producción.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Documentación técnica completa: artefactos SHAP (resumen global e individual) para sustentar hallazgos ante auditores — ver Figuras 1 y 2. Resultados publicados en un esquema listo para SSRS (tabla PrediccionesFavoritismo, ver Producto 7 Sección 6).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Entrenamiento del modelo final sobre el dataset completo (2,354 registros), en scikit-learn y en Spark MLlib real.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Validación cruzada estratificada (scikit-learn) y CrossValidator (Spark MLlib) para la búsqueda de hiperparámetros.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Generación de valores SHAP (TreeExplainer) y ranking de riesgo para los 2,354 pares proveedor-entidad.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100% de las actividades de entrenamiento, validación e interpretabilidad fueron completadas, incluyendo la ejecución real en Spark MLlib (no solo scikit-learn) y la búsqueda sistemática de hiperparámetros en ambas plataformas. El ranking de riesgo generado está listo para revisión por un auditor y publicado en un esquema tipo SQL Server.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El desempeño perfecto en datos sintéticos no es representativo del desempeño esperado en producción; se recomienda repetir esta validación íntegramente al conectar datos reales (ver Producto 7, Sección 10, donde se corrió una versión no supervisada equivalente sobre 47,442 contratos reales de SEACE).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El modelo y sus artefactos de explicabilidad están listos para una prueba piloto con datos reales supervisada por un auditor de la CGR.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90"/>
        <w:jc w:val="center"/>
      </w:pPr>
      <w:r>
        <w:drawing>
          <wp:inline distT="0" distB="0" distL="0" distR="0">
            <wp:extent cx="4191000" cy="2876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50"/>
        <w:jc w:val="center"/>
      </w:pPr>
      <w:r>
        <w:rPr>
          <w:i/>
          <w:iCs/>
          <w:color w:val="666666"/>
          <w:sz w:val="17"/>
          <w:szCs w:val="17"/>
        </w:rPr>
        <w:t xml:space="preserve">Figura 1. Impacto SHAP por variable — vista global.</w:t>
      </w:r>
    </w:p>
    <w:p>
      <w:pPr>
        <w:spacing w:after="90"/>
        <w:jc w:val="center"/>
      </w:pPr>
      <w:r>
        <w:drawing>
          <wp:inline distT="0" distB="0" distL="0" distR="0">
            <wp:extent cx="4191000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50"/>
        <w:jc w:val="center"/>
      </w:pPr>
      <w:r>
        <w:rPr>
          <w:i/>
          <w:iCs/>
          <w:color w:val="666666"/>
          <w:sz w:val="17"/>
          <w:szCs w:val="17"/>
        </w:rPr>
        <w:t xml:space="preserve">Figura 2. Explicación SHAP individual del caso de mayor riesgo.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Entrenamiento y Validación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3e479aff07d35708be563eaf7ba0dfc7c8da951.png"/><Relationship Id="rId10" Type="http://schemas.openxmlformats.org/officeDocument/2006/relationships/image" Target="media/a129c85e0bc7ab774f516edc5ee2a16868744ad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2026-08-07T20:39:19.012Z</dcterms:created>
  <dcterms:modified xsi:type="dcterms:W3CDTF">2026-08-07T20:39:19.012Z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