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Preprocesamiento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729_403810553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reproducible contiene 4,296 contratos y produce 2,362 pares proveedor-entidad. El contrato operacional separa FIT y TRANSFORM, congela estadísticas aprendidas y utiliza monto_capped para limitar la influencia de extremos monetarios en favoritismo.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729_4038105535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1_403810553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3_4038105535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5_4038105535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7_403810553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9_4038105535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1_4038105535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3_4038105535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45_4038105535">
            <w:r>
              <w:rPr>
                <w:rStyle w:val="IndexLink"/>
              </w:rPr>
              <w:t>3.1 Contrato FIT/TRANSFORM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47_4038105535">
            <w:r>
              <w:rPr>
                <w:rStyle w:val="IndexLink"/>
              </w:rPr>
              <w:t>3.2 Tratamiento de montos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49_4038105535">
            <w:r>
              <w:rPr>
                <w:rStyle w:val="IndexLink"/>
              </w:rPr>
              <w:t>3.3 Feature engineering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1_4038105535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3_4038105535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5_4038105535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7_4038105535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9_4038105535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1_4038105535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63_4038105535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65_4038105535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67_4038105535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69_4038105535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1_4038105535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73_4038105535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731_403810553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Estado y decisiones del preprocesamiento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733_403810553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735_403810553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737_403810553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739_403810553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cómo se transforma el contrato canónico en variables aptas para el modelo de favoritismo y por qué el preprocesamiento se ajusta únicamente durante TRAIN.</w:t>
      </w:r>
    </w:p>
    <w:p>
      <w:pPr>
        <w:pStyle w:val="Heading1"/>
        <w:spacing w:lineRule="exact" w:line="240" w:before="240" w:after="120"/>
        <w:rPr/>
      </w:pPr>
      <w:bookmarkStart w:id="6" w:name="__RefHeading___Toc1741_403810553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1743_403810553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745_403810553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Contrato FIT/TRANSFORM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TRAIN aprende medianas por objeto, mediana global, modas y P99. INFERENCE recibe ese estado congelado y no recalcula parámetros con el lote actual. Esta separación evita train-serving skew y preserva trazabilidad.</w:t>
      </w:r>
    </w:p>
    <w:p>
      <w:pPr>
        <w:pStyle w:val="Heading2"/>
        <w:spacing w:lineRule="exact" w:line="240" w:before="180" w:after="80"/>
        <w:rPr/>
      </w:pPr>
      <w:bookmarkStart w:id="9" w:name="__RefHeading___Toc1747_4038105535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Tratamiento de montos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Favoritismo utiliza monto_capped con un límite P99 aprendido en TRAIN. La decisión reduce la dominancia de valores monetarios extremos sobre agregados sin introducir información del lote de inferencia.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Estado y decisiones del preprocesamiento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Evidencia/decisión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4,296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P99 del monto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894,438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2,362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Modalidades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Contratación Directa y Comparación de Precios se conservan como variables separadas.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Estado de serving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Preprocesador congelado; INFERENCE no ejecuta FIT.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749_4038105535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Comparación de Precios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Funcionarios distintos, días de actividad, contratos por mes y monto por funcionario.</w:t>
      </w:r>
    </w:p>
    <w:p>
      <w:pPr>
        <w:pStyle w:val="Heading1"/>
        <w:spacing w:lineRule="exact" w:line="240" w:before="240" w:after="120"/>
        <w:rPr/>
      </w:pPr>
      <w:bookmarkStart w:id="11" w:name="__RefHeading___Toc1751_4038105535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Aplicación del contrato canónico y quality gates antes del modelado.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Ajuste de estadísticas únicamente sobre datos de TRAIN/desarrollo.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Transformación reproducible y construcción de features.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schema, labels y consistencia pandas/Spark.</w:t>
      </w:r>
    </w:p>
    <w:p>
      <w:pPr>
        <w:pStyle w:val="Heading1"/>
        <w:spacing w:lineRule="exact" w:line="240" w:before="240" w:after="120"/>
        <w:rPr/>
      </w:pPr>
      <w:bookmarkStart w:id="12" w:name="__RefHeading___Toc1753_4038105535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contrato de preprocesamiento y features está implementado y probado en el PoC. La recalibración sobre distribuciones institucionales requiere fuentes y ground truth CGR.</w:t>
      </w:r>
    </w:p>
    <w:p>
      <w:pPr>
        <w:pStyle w:val="Heading1"/>
        <w:spacing w:lineRule="exact" w:line="240" w:before="240" w:after="120"/>
        <w:rPr/>
      </w:pPr>
      <w:bookmarkStart w:id="13" w:name="__RefHeading___Toc1755_4038105535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del benchmark es sintético y no representa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reglas de calidad de negocio específicas de SIAF/SEACE dependen del diccionario institucional aprobado.</w:t>
      </w:r>
    </w:p>
    <w:p>
      <w:pPr>
        <w:pStyle w:val="Heading1"/>
        <w:spacing w:lineRule="exact" w:line="240" w:before="240" w:after="120"/>
        <w:rPr/>
      </w:pPr>
      <w:bookmarkStart w:id="14" w:name="__RefHeading___Toc1757_4038105535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separación FIT/TRANSFORM y el uso de monto_capped permiten que la inferencia aplique exactamente el estado aprendido durante entrenamiento. Se recomienda conservar ese contrato al integrar fuentes institucionales.</w:t>
      </w:r>
    </w:p>
    <w:p>
      <w:pPr>
        <w:pStyle w:val="Heading1"/>
        <w:spacing w:lineRule="exact" w:line="240" w:before="240" w:after="120"/>
        <w:rPr/>
      </w:pPr>
      <w:bookmarkStart w:id="15" w:name="__RefHeading___Toc1759_4038105535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0" w:after="60"/>
        <w:rPr/>
      </w:pPr>
      <w:bookmarkStart w:id="16" w:name="__RefHeading___Toc1761_4038105535"/>
      <w:bookmarkEnd w:id="16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7" w:name="__RefHeading___Toc1763_4038105535"/>
      <w:bookmarkEnd w:id="17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8" w:name="__RefHeading___Toc1765_4038105535"/>
      <w:bookmarkEnd w:id="18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9" w:name="__RefHeading___Toc1767_4038105535"/>
      <w:bookmarkEnd w:id="19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1769_4038105535"/>
      <w:bookmarkEnd w:id="20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1" w:name="__RefHeading___Toc1771_4038105535"/>
      <w:bookmarkEnd w:id="21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2" w:name="__RefHeading___Toc1773_4038105535"/>
      <w:bookmarkEnd w:id="2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Preprocesamiento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2026-08-12T01:12:58Z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2026-08-12T01:13:01Z</dcterms:modified>
  <cp:revision>2</cp:revision>
  <dc:subject/>
  <dc:title>Preprocesamiento para Identificación de Proveedores Favoritos - Prototipo independiente CGR 1.8.2</dc:title>
</cp:coreProperties>
</file>