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2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serving objetivo utiliza Apache Spark MLlib con RandomForestClassificationModel. La evaluación operacional reserva un holdout antes del FIT y selecciona hiperparámetros únicamente sobre desarrollo; el benchmark sklearn permanece como comparación metodológica y soporte SHAP.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2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4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6_403810553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8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403810553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58_4038105535">
            <w:r>
              <w:rPr>
                <w:rStyle w:val="IndexLink"/>
              </w:rPr>
              <w:t>3.1 Patrones y unidad analítica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0_4038105535">
            <w:r>
              <w:rPr>
                <w:rStyle w:val="IndexLink"/>
              </w:rPr>
              <w:t>3.2 Comparación metodológica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2_4038105535">
            <w:r>
              <w:rPr>
                <w:rStyle w:val="IndexLink"/>
              </w:rPr>
              <w:t>3.3 Modelo operacional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4038105535">
            <w:r>
              <w:rPr>
                <w:rStyle w:val="IndexLink"/>
              </w:rPr>
              <w:t>3.4 Interpretabilidad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403810553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8_403810553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0_403810553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2_403810553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403810553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403810553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403810553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403810553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2_403810553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403810553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403810553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8_403810553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44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metodológica sklearn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 Spark MLlib servido</w:t>
      </w:r>
    </w:p>
    <w:p>
      <w:pPr>
        <w:pStyle w:val="Heading1"/>
        <w:spacing w:lineRule="exact" w:line="240" w:before="240" w:after="120"/>
        <w:rPr/>
      </w:pPr>
      <w:bookmarkStart w:id="2" w:name="__RefHeading___Toc2246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Importancia/explicabilidad de variables</w:t>
      </w:r>
    </w:p>
    <w:p>
      <w:pPr>
        <w:pStyle w:val="Heading1"/>
        <w:spacing w:lineRule="exact" w:line="240" w:before="240" w:after="120"/>
        <w:rPr/>
      </w:pPr>
      <w:bookmarkStart w:id="3" w:name="__RefHeading___Toc2248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0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2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fundamenta la selección del algoritmo y diferencia explícitamente el modelo servido de los benchmarks de compatibilidad.</w:t>
      </w:r>
    </w:p>
    <w:p>
      <w:pPr>
        <w:pStyle w:val="Heading1"/>
        <w:spacing w:lineRule="exact" w:line="240" w:before="240" w:after="120"/>
        <w:rPr/>
      </w:pPr>
      <w:bookmarkStart w:id="6" w:name="__RefHeading___Toc2254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256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58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unidad analítica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riesgo se prioriza a nivel proveedor-entidad mediante frecuencia, montos, diversidad de objetos, modalidad, temporalidad y relación con funcionarios disponibles.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0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Comparación metodológica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metodológica sklearn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AUC-PR se prioriza por el desbalance de la clase positiva. El benchmark sklearn permite comparar familias de modelos y producir SHAP, pero no define el champion activo.</w:t>
      </w:r>
    </w:p>
    <w:p>
      <w:pPr>
        <w:pStyle w:val="Heading2"/>
        <w:spacing w:lineRule="exact" w:line="240" w:before="180" w:after="80"/>
        <w:rPr/>
      </w:pPr>
      <w:bookmarkStart w:id="10" w:name="__RefHeading___Toc2262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operacional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 Spark MLlib servido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Framework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/ Apache Spark MLlib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Pipeline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spark_operational_features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5-fold estratificado determinístico solo en desarrollo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591 pares; 8 positivos sintéticos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Configuración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numTrees=100; maxDepth=3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utiliza porque representa relaciones no lineales, admite ponderación ante desbalance y proporciona Feature Importance directamente ligada al modelo Spark servido.</w:t>
      </w:r>
    </w:p>
    <w:p>
      <w:pPr>
        <w:pStyle w:val="Heading2"/>
        <w:spacing w:lineRule="exact" w:line="240" w:before="180" w:after="80"/>
        <w:rPr/>
      </w:pPr>
      <w:bookmarkStart w:id="11" w:name="__RefHeading___Toc2264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Interpretabilidad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Feature Importance del champion Spark constituye evidencia principal de variables utilizadas. SHAP sobre el benchmark sklearn se conserva como explicación complementaria y no sustituye la evidencia del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del benchmark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2" w:name="__RefHeading___Toc2266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de Regresión Logística, Random Forest y Gradient Boosting.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Selección/tuning con AUC-PR en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RandomForestClassificationModel con Apache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Registro de Feature Importance y evidencia PySpark reproducible.</w:t>
      </w:r>
    </w:p>
    <w:p>
      <w:pPr>
        <w:pStyle w:val="Heading1"/>
        <w:spacing w:lineRule="exact" w:line="240" w:before="240" w:after="120"/>
        <w:rPr/>
      </w:pPr>
      <w:bookmarkStart w:id="13" w:name="__RefHeading___Toc2268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selección, implementación MLlib y evaluación del pipeline servido son reproducibles. La aceptación productiva necesita ground truth, umbrales y pruebas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2270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sintético puede ser más separable que un corpus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estabilidad por periodo/segmento debe validarse con datos históricos CGR.</w:t>
      </w:r>
    </w:p>
    <w:p>
      <w:pPr>
        <w:pStyle w:val="Heading1"/>
        <w:spacing w:lineRule="exact" w:line="240" w:before="240" w:after="120"/>
        <w:rPr/>
      </w:pPr>
      <w:bookmarkStart w:id="15" w:name="__RefHeading___Toc2272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Spark es el modelo operacional del PoC para favoritismo; sklearn se mantiene como benchmark/explicabilidad. Las métricas sintéticas no deben extrapolarse como desempeño productivo.</w:t>
      </w:r>
    </w:p>
    <w:p>
      <w:pPr>
        <w:pStyle w:val="Heading1"/>
        <w:spacing w:lineRule="exact" w:line="240" w:before="240" w:after="120"/>
        <w:rPr/>
      </w:pPr>
      <w:bookmarkStart w:id="16" w:name="__RefHeading___Toc2274_403810553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2276_4038105535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2278_4038105535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2280_4038105535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282_4038105535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2284_4038105535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2286_4038105535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2288_4038105535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2026-08-12T01:13:02Z</dcterms:modified>
  <cp:revision>2</cp:revision>
  <dc:subject/>
  <dc:title>Selección del Algoritmo y Modelo para Identificación de Proveedores Favoritos - Prototipo independiente CGR 1.8.2</dc:title>
</cp:coreProperties>
</file>