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5.xml" ContentType="application/vnd.openxmlformats-officedocument.wordprocessingml.footer+xml"/>
  <Override PartName="/word/media/image1.png" ContentType="image/png"/>
  <Override PartName="/word/media/image2.png" ContentType="image/png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240" w:before="400" w:after="0"/>
        <w:rPr/>
      </w:pPr>
      <w:r>
        <w:rPr/>
      </w:r>
    </w:p>
    <w:p>
      <w:pPr>
        <w:pStyle w:val="Normal"/>
        <w:keepNext w:val="false"/>
        <w:spacing w:lineRule="exact" w:line="240" w:before="0" w:after="1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CONTRALORÍA GENERAL DE LA REPÚBLICA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[Espacio reservado para el logo oficial CGR en una entrega institucional autorizada]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PRODUCTO N.° 2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Limpieza y Preprocesamiento de Datos para Identificación de Proveedores Favoritos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Nombre de la consultoría: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color w:val="000000"/>
          <w:sz w:val="22"/>
          <w:szCs w:val="22"/>
        </w:rPr>
        <w:t>CONTRATACIÓN DE UN CONSULTOR CIENTÍFICO DE DATOS PARA EL DESARROLLO DEL "MÓDULO DE ANÁLISIS DE DATOS PARA DAR SOPORTE A LOS AUDITORES DURANTE LA EJECUCIÓN DE LOS SERVICIOS DE CONTROL" EN EL SISTEMA INTEGRADO DE CONTROL DEL PROYECTO INTERNO 1.8.2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Consultor: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Noé Calle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PROTOTIPO INDEPENDIENTE - no constituye una implementación oficial ni cuenta con aprobación institucional de la CGR.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Repositorio de código y documentación: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https://github.com/NoeCalle/cgr-analisis-datos</w: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  <w:pStyle w:val="Normal"/>
        <w:keepNext w:val="false"/>
        <w:spacing w:lineRule="exact" w:line="240" w:before="0" w:after="80"/>
        <w:jc w:val="center"/>
        <w:rPr/>
      </w:pPr>
      <w:r>
        <w:rPr>
          <w:rFonts w:eastAsia="Arial" w:cs="Arial"/>
          <w:color w:val="000000"/>
          <w:sz w:val="22"/>
          <w:szCs w:val="22"/>
        </w:rPr>
        <w:t>Fecha de presentación: agosto de 2026</w:t>
      </w:r>
    </w:p>
    <w:p>
      <w:pPr>
        <w:pStyle w:val="Heading1"/>
        <w:spacing w:lineRule="exact" w:line="240" w:before="240" w:after="120"/>
        <w:rPr/>
      </w:pPr>
      <w:bookmarkStart w:id="0" w:name="__RefHeading___Toc1454_3096013202"/>
      <w:bookmarkEnd w:id="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Resumen Ejecutivo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Se procesaron 3,709 contratos sintéticos para construir 2,328 pares proveedor-entidad, con 6 casos positivos sembrados. El flujo implementa limpieza, tratamiento de outliers, transformación, feature engineering y una división reproducible de datos.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Nota metodológica: las métricas del benchmark sintético evalúan la coherencia del PoC y no estiman desempeño productivo. Las salidas sobre datos públicos son señales de priorización para revisión humana y no constituyen hallazgos ni determinaciones automáticas de irregularidad.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uppressLineNumbers/>
            <w:spacing w:lineRule="auto" w:line="240" w:before="0" w:after="0"/>
            <w:ind w:hanging="0" w:left="0"/>
            <w:rPr>
              <w:rFonts w:ascii="Arial" w:hAnsi="Arial" w:eastAsia="Arial" w:cs="Arial"/>
              <w:b/>
              <w:bCs/>
              <w:sz w:val="22"/>
              <w:szCs w:val="22"/>
            </w:rPr>
          </w:pPr>
          <w:r>
            <w:rPr>
              <w:rFonts w:eastAsia="Arial" w:cs="Arial"/>
              <w:b/>
              <w:bCs/>
              <w:sz w:val="22"/>
              <w:szCs w:val="22"/>
            </w:rPr>
            <w:t>Índice</w:t>
          </w:r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"1-3" \h</w:instrText>
          </w:r>
          <w:r>
            <w:rPr>
              <w:rStyle w:val="IndexLink"/>
            </w:rPr>
            <w:fldChar w:fldCharType="separate"/>
          </w:r>
          <w:hyperlink w:anchor="__RefHeading___Toc1454_3096013202">
            <w:r>
              <w:rPr>
                <w:rStyle w:val="IndexLink"/>
              </w:rPr>
              <w:t>Resumen Ejecutivo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456_3096013202">
            <w:r>
              <w:rPr>
                <w:rStyle w:val="IndexLink"/>
              </w:rPr>
              <w:t>Índice de Tablas o Cuadros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458_3096013202">
            <w:r>
              <w:rPr>
                <w:rStyle w:val="IndexLink"/>
              </w:rPr>
              <w:t>Índice de Gráficos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460_3096013202">
            <w:r>
              <w:rPr>
                <w:rStyle w:val="IndexLink"/>
              </w:rPr>
              <w:t>Lista de Abreviaturas y Acrónimos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462_3096013202">
            <w:r>
              <w:rPr>
                <w:rStyle w:val="IndexLink"/>
              </w:rPr>
              <w:t>Glosario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464_3096013202">
            <w:r>
              <w:rPr>
                <w:rStyle w:val="IndexLink"/>
              </w:rPr>
              <w:t>1. Introducción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466_3096013202">
            <w:r>
              <w:rPr>
                <w:rStyle w:val="IndexLink"/>
              </w:rPr>
              <w:t>2. Objetivo de Consultoría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468_3096013202">
            <w:r>
              <w:rPr>
                <w:rStyle w:val="IndexLink"/>
              </w:rPr>
              <w:t>3. Productos Alcanzados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470_3096013202">
            <w:r>
              <w:rPr>
                <w:rStyle w:val="IndexLink"/>
              </w:rPr>
              <w:t>3.1 Imputación y calidad de datos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472_3096013202">
            <w:r>
              <w:rPr>
                <w:rStyle w:val="IndexLink"/>
              </w:rPr>
              <w:t>3.2 Tratamiento de outliers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474_3096013202">
            <w:r>
              <w:rPr>
                <w:rStyle w:val="IndexLink"/>
              </w:rPr>
              <w:t>3.3 Codificación y normalización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476_3096013202">
            <w:r>
              <w:rPr>
                <w:rStyle w:val="IndexLink"/>
              </w:rPr>
              <w:t>3.4 Feature engineering</w:t>
              <w:tab/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478_3096013202">
            <w:r>
              <w:rPr>
                <w:rStyle w:val="IndexLink"/>
              </w:rPr>
              <w:t>3.5 División y publicación de datos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480_3096013202">
            <w:r>
              <w:rPr>
                <w:rStyle w:val="IndexLink"/>
              </w:rPr>
              <w:t>4. Actividades Realizadas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482_3096013202">
            <w:r>
              <w:rPr>
                <w:rStyle w:val="IndexLink"/>
              </w:rPr>
              <w:t>5. Grado de Cumplimiento del Producto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484_3096013202">
            <w:r>
              <w:rPr>
                <w:rStyle w:val="IndexLink"/>
              </w:rPr>
              <w:t>6. Dificultades y Limitaciones Encontradas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486_3096013202">
            <w:r>
              <w:rPr>
                <w:rStyle w:val="IndexLink"/>
              </w:rPr>
              <w:t>7. Conclusiones y Recomendaciones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488_3096013202">
            <w:r>
              <w:rPr>
                <w:rStyle w:val="IndexLink"/>
              </w:rPr>
              <w:t>8. Anexos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490_3096013202">
            <w:r>
              <w:rPr>
                <w:rStyle w:val="IndexLink"/>
              </w:rPr>
              <w:t>Referencias Bibliográficas</w:t>
              <w:tab/>
              <w:t>6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lineRule="exact" w:line="240" w:before="0" w:after="120"/>
        <w:rPr>
          <w:rFonts w:ascii="Arial" w:hAnsi="Arial" w:eastAsia="Arial" w:cs="Arial"/>
          <w:color w:val="000000"/>
          <w:sz w:val="22"/>
          <w:szCs w:val="22"/>
        </w:rPr>
      </w:pPr>
      <w:r>
        <w:rPr/>
      </w:r>
    </w:p>
    <w:p>
      <w:pPr>
        <w:pStyle w:val="Heading1"/>
        <w:spacing w:lineRule="exact" w:line="240" w:before="240" w:after="120"/>
        <w:rPr/>
      </w:pPr>
      <w:bookmarkStart w:id="1" w:name="__RefHeading___Toc1456_3096013202"/>
      <w:bookmarkEnd w:id="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Tablas o Cuadros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Resumen de calidad y preparación del benchmark de favoritismo</w:t>
      </w:r>
    </w:p>
    <w:p>
      <w:pPr>
        <w:pStyle w:val="Heading1"/>
        <w:spacing w:lineRule="exact" w:line="240" w:before="240" w:after="120"/>
        <w:rPr/>
      </w:pPr>
      <w:bookmarkStart w:id="2" w:name="__RefHeading___Toc1458_3096013202"/>
      <w:bookmarkEnd w:id="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Gráficos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Distribución de montos contractuales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Modalidades de contratación del benchmark</w:t>
      </w:r>
    </w:p>
    <w:p>
      <w:pPr>
        <w:pStyle w:val="Heading1"/>
        <w:spacing w:lineRule="exact" w:line="240" w:before="240" w:after="120"/>
        <w:rPr/>
      </w:pPr>
      <w:bookmarkStart w:id="3" w:name="__RefHeading___Toc1460_3096013202"/>
      <w:bookmarkEnd w:id="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Lista de Abreviaturas y Acrónimos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799"/>
        <w:gridCol w:w="7000"/>
      </w:tblGrid>
      <w:tr>
        <w:trPr>
          <w:tblHeader w:val="true"/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Sigla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Significado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Precision-Recall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Receiver Operating Characteristic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CGR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Contraloría General de la República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continua (Continuous Integration)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cruzada (Cross-Validation)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DAG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 acíclico dirigido (Directed Acyclic Graph)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Análisis exploratorio de datos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Extracción, transformación y carga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HDFS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Hadoop Distributed File System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Machine Learning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MLlib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Biblioteca de Machine Learning de Apache Spark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OCDS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Open Contracting Data Standard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OECE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Organismo Especializado para las Contrataciones Públicas Eficientes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Prueba de concepto (Proof of Concept)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Population Stability Index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SHapley Additive exPlanations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SSRS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SQL Server Reporting Services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TDR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Términos de Referencia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4" w:name="__RefHeading___Toc1462_3096013202"/>
      <w:bookmarkEnd w:id="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Glosario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500"/>
        <w:gridCol w:w="6299"/>
      </w:tblGrid>
      <w:tr>
        <w:trPr>
          <w:tblHeader w:val="true"/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Término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Definición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Conjunto de datos artificial con casos sembrados, usado para verificar el comportamiento del prototipo sin asumir desempeño productivo.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Feature engineering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Creación o transformación de variables analíticas a partir de los datos de origen.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Etiqueta de referencia usada para evaluar un modelo. En el PoC las etiquetas son sintéticas; el ground truth real requiere validación institucional.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Hard negative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Caso negativo diseñado para parecerse a un positivo y evitar una separación artificialmente trivial.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Holdout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Partición reservada que no participa en el ajuste de parámetros y se usa para una evaluación independiente.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Arquitectura que combina almacenamiento de datos a escala con capacidades de gestión y consulta analítica.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Señal de priorización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Indicador para ordenar casos que merecen revisión humana; no constituye por sí mismo un hallazgo ni una determinación jurídica.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5" w:name="__RefHeading___Toc1464_3096013202"/>
      <w:bookmarkEnd w:id="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1. Introducción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Este producto documenta la preparación de datos previa al modelado de favoritismo y cubre los componentes de limpieza y preprocesamiento exigidos por el TDR.</w:t>
      </w:r>
    </w:p>
    <w:p>
      <w:pPr>
        <w:pStyle w:val="Heading1"/>
        <w:spacing w:lineRule="exact" w:line="240" w:before="240" w:after="120"/>
        <w:rPr/>
      </w:pPr>
      <w:bookmarkStart w:id="6" w:name="__RefHeading___Toc1466_3096013202"/>
      <w:bookmarkEnd w:id="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2. Objetivo de Consultoría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Objetivo de consultoría tomado como referencia del TDR: disponer datos procesados y filtrados de fuentes externas e internas, y desarrollar modelos de Machine Learning que permitan identificar casos atípicos y patrones de riesgo relevantes para la labor del auditor. En este repositorio dicho objetivo se desarrolla únicamente como prototipo independiente.</w:t>
      </w:r>
    </w:p>
    <w:p>
      <w:pPr>
        <w:pStyle w:val="Heading1"/>
        <w:spacing w:lineRule="exact" w:line="240" w:before="240" w:after="120"/>
        <w:rPr/>
      </w:pPr>
      <w:bookmarkStart w:id="7" w:name="__RefHeading___Toc1468_3096013202"/>
      <w:bookmarkEnd w:id="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 Productos Alcanzados</w:t>
      </w:r>
    </w:p>
    <w:p>
      <w:pPr>
        <w:pStyle w:val="Heading2"/>
        <w:spacing w:lineRule="exact" w:line="240" w:before="180" w:after="80"/>
        <w:rPr/>
      </w:pPr>
      <w:bookmarkStart w:id="8" w:name="__RefHeading___Toc1470_3096013202"/>
      <w:bookmarkEnd w:id="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3.1 Imputación y calidad de datos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1. Resumen de calidad y preparación del benchmark de favoritismo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5000"/>
        <w:gridCol w:w="3799"/>
      </w:tblGrid>
      <w:tr>
        <w:trPr>
          <w:tblHeader w:val="true"/>
          <w:cantSplit w:val="true"/>
        </w:trPr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Métrica</w:t>
            </w:r>
          </w:p>
        </w:tc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Resultado</w:t>
            </w:r>
          </w:p>
        </w:tc>
      </w:tr>
      <w:tr>
        <w:trPr>
          <w:cantSplit w:val="true"/>
        </w:trPr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Contratos sintéticos</w:t>
            </w:r>
          </w:p>
        </w:tc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3,709</w:t>
            </w:r>
          </w:p>
        </w:tc>
      </w:tr>
      <w:tr>
        <w:trPr>
          <w:cantSplit w:val="true"/>
        </w:trPr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Valores nulos totales en fuente</w:t>
            </w:r>
          </w:p>
        </w:tc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241</w:t>
            </w:r>
          </w:p>
        </w:tc>
      </w:tr>
      <w:tr>
        <w:trPr>
          <w:cantSplit w:val="true"/>
        </w:trPr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Filas con al menos un nulo</w:t>
            </w:r>
          </w:p>
        </w:tc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237</w:t>
            </w:r>
          </w:p>
        </w:tc>
      </w:tr>
      <w:tr>
        <w:trPr>
          <w:cantSplit w:val="true"/>
        </w:trPr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Percentil 99 del monto</w:t>
            </w:r>
          </w:p>
        </w:tc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S/ 736,486</w:t>
            </w:r>
          </w:p>
        </w:tc>
      </w:tr>
      <w:tr>
        <w:trPr>
          <w:cantSplit w:val="true"/>
        </w:trPr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Registros sobre P99</w:t>
            </w:r>
          </w:p>
        </w:tc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37</w:t>
            </w:r>
          </w:p>
        </w:tc>
      </w:tr>
      <w:tr>
        <w:trPr>
          <w:cantSplit w:val="true"/>
        </w:trPr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Pares proveedor-entidad</w:t>
            </w:r>
          </w:p>
        </w:tc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2,328</w:t>
            </w:r>
          </w:p>
        </w:tc>
      </w:tr>
      <w:tr>
        <w:trPr>
          <w:cantSplit w:val="true"/>
        </w:trPr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Positivos sintéticos</w:t>
            </w:r>
          </w:p>
        </w:tc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6</w:t>
            </w:r>
          </w:p>
        </w:tc>
      </w:tr>
    </w:tbl>
    <w:p>
      <w:pPr>
        <w:pStyle w:val="Heading2"/>
        <w:spacing w:lineRule="exact" w:line="240" w:before="180" w:after="80"/>
        <w:rPr/>
      </w:pPr>
      <w:bookmarkStart w:id="9" w:name="__RefHeading___Toc1472_3096013202"/>
      <w:bookmarkEnd w:id="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3.2 Tratamiento de outliers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Los montos extremos se identifican mediante el percentil 99 y se controlan en la transformación para impedir que valores aislados dominen el entrenamiento. La operación es determinística y queda cubierta por el pipeline reproducible.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1. Distribución de montos contractuales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333750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10" w:name="__RefHeading___Toc1474_3096013202"/>
      <w:bookmarkEnd w:id="1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3.3 Codificación y normalización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Las variables numéricas se preparan de forma reproducible y las categorías se conservan con semántica explícita. Contratación Directa y Comparación de Precios se modelan como variables separadas, evitando equiparar procedimientos distintos.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2. Modalidades de contratación del benchmark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333750"/>
            <wp:effectExtent l="0" t="0" r="0" b="0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11" w:name="__RefHeading___Toc1476_3096013202"/>
      <w:bookmarkEnd w:id="1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3.4 Feature engineering</w:t>
      </w:r>
    </w:p>
    <w:p>
      <w:pPr>
        <w:pStyle w:val="ListParagraph"/>
        <w:numPr>
          <w:ilvl w:val="0"/>
          <w:numId w:val="3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Número de contratos, monto total y monto promedio por proveedor-entidad.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Número de objetos únicos y concentración temática.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Porcentaje de Contratación Directa y porcentaje de Comparación de Precios, por separado.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Número de funcionarios distintos, días de actividad, contratos por mes y monto por funcionario.</w:t>
      </w:r>
    </w:p>
    <w:p>
      <w:pPr>
        <w:pStyle w:val="Heading2"/>
        <w:spacing w:lineRule="exact" w:line="240" w:before="180" w:after="80"/>
        <w:rPr/>
      </w:pPr>
      <w:bookmarkStart w:id="12" w:name="__RefHeading___Toc1478_3096013202"/>
      <w:bookmarkEnd w:id="1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3.5 División y publicación de datos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dataset analítico se publica en lakehouse/plata/dataset_favoritismo.csv. Las particiones de validación se realizan en las etapas de comparación y tuning con esquemas estratificados reproducibles.</w:t>
      </w:r>
    </w:p>
    <w:p>
      <w:pPr>
        <w:pStyle w:val="Heading1"/>
        <w:spacing w:lineRule="exact" w:line="240" w:before="240" w:after="120"/>
        <w:rPr/>
      </w:pPr>
      <w:bookmarkStart w:id="13" w:name="__RefHeading___Toc1480_3096013202"/>
      <w:bookmarkEnd w:id="1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4. Actividades Realizadas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Generación determinística del benchmark sintético con hard negatives.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EDA, imputación, control de outliers, transformación y feature engineering.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Publicación de datos limpios/features en capa Plata.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Validación automática de columnas, conteos y etiquetas en GitHub Actions.</w:t>
      </w:r>
    </w:p>
    <w:p>
      <w:pPr>
        <w:pStyle w:val="Heading1"/>
        <w:spacing w:lineRule="exact" w:line="240" w:before="240" w:after="120"/>
        <w:rPr/>
      </w:pPr>
      <w:bookmarkStart w:id="14" w:name="__RefHeading___Toc1482_3096013202"/>
      <w:bookmarkEnd w:id="1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5. Grado de Cumplimiento del Producto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Cumplimiento técnico completo dentro del PoC. La sustitución de datos sintéticos por fuentes internas y su validación funcional dependen del entorno institucional CGR.</w:t>
      </w:r>
    </w:p>
    <w:p>
      <w:pPr>
        <w:pStyle w:val="Heading1"/>
        <w:spacing w:lineRule="exact" w:line="240" w:before="240" w:after="120"/>
        <w:rPr/>
      </w:pPr>
      <w:bookmarkStart w:id="15" w:name="__RefHeading___Toc1484_3096013202"/>
      <w:bookmarkEnd w:id="1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6. Dificultades y Limitaciones Encontradas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El ground truth es sintético; permite probar el pipeline pero no estimar desempeño real.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La información abierta OCDS no contiene todos los atributos institucionales previstos por el TDR.</w:t>
      </w:r>
    </w:p>
    <w:p>
      <w:pPr>
        <w:pStyle w:val="Heading1"/>
        <w:spacing w:lineRule="exact" w:line="240" w:before="240" w:after="120"/>
        <w:rPr/>
      </w:pPr>
      <w:bookmarkStart w:id="16" w:name="__RefHeading___Toc1486_3096013202"/>
      <w:bookmarkEnd w:id="1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7. Conclusiones y Recomendaciones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preprocesamiento de favoritismo es reproducible, auditable y coherente con la semántica de contratación. Se recomienda conservar esta separación de modalidades y recalibrar el feature engineering cuando exista ground truth validado por auditores.</w:t>
      </w:r>
    </w:p>
    <w:p>
      <w:pPr>
        <w:pStyle w:val="Heading1"/>
        <w:spacing w:lineRule="exact" w:line="240" w:before="240" w:after="120"/>
        <w:rPr/>
      </w:pPr>
      <w:bookmarkStart w:id="17" w:name="__RefHeading___Toc1488_3096013202"/>
      <w:bookmarkEnd w:id="1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8. Anexos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Repositorio organizado con código, datasets sintéticos, evidencia reproducible y documentación: https://github.com/NoeCalle/cgr-analisis-datos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Fuente única de cifras documentales: outputs/evidencia_documental.json.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Trazabilidad de ejecución: outputs/run_manifest.json y outputs/linaje_datos.csv.</w:t>
      </w:r>
    </w:p>
    <w:p>
      <w:pPr>
        <w:pStyle w:val="Heading1"/>
        <w:spacing w:lineRule="exact" w:line="240" w:before="240" w:after="120"/>
        <w:rPr/>
      </w:pPr>
      <w:bookmarkStart w:id="18" w:name="__RefHeading___Toc1490_3096013202"/>
      <w:bookmarkEnd w:id="1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Referencias Bibliográficas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Contraloría General de la República. Términos de Referencia de la consultoría del Proyecto Interno 1.8.2, mayo de 2026.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Open Contracting Partnership. Open Contracting Data Standard (OCDS) y publicación de datos abiertos utilizada por el prototipo.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Organismo Especializado para las Contrataciones Públicas Eficientes (OECE). Datos abiertos de contratación pública empleados en la validación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Apache Software Foundation. Documentación de Apache Spark y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scikit-learn developers. Documentación de scikit-learn para clasificación, validación y detección de anomalías.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Lundberg, S. M. y Lee, S.-I. A Unified Approach to Interpreting Model Predictions. 2017.</w:t>
      </w:r>
    </w:p>
    <w:sectPr>
      <w:headerReference w:type="default" r:id="rId7"/>
      <w:footerReference w:type="default" r:id="rId8"/>
      <w:footerReference w:type="first" r:id="rId9"/>
      <w:type w:val="nextPage"/>
      <w:pgSz w:w="11906" w:h="16838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6</w:t>
    </w:r>
    <w:r>
      <w:rPr/>
      <w:fldChar w:fldCharType="end"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30"/>
      <w:jc w:val="right"/>
      <w:rPr/>
    </w:pPr>
    <w:r>
      <w:rPr>
        <w:rFonts w:eastAsia="Arial" w:cs="Arial"/>
        <w:color w:val="666666"/>
        <w:sz w:val="22"/>
        <w:szCs w:val="22"/>
      </w:rPr>
      <w:t>Limpieza y Preprocesamiento de Datos para Identificación de Proveedores Favoritos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  <w:mirrorMargins/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000000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lineRule="exact" w:line="240" w:before="240" w:after="120"/>
      <w:outlineLvl w:val="0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2">
    <w:name w:val="Heading 2"/>
    <w:basedOn w:val="Heading"/>
    <w:qFormat/>
    <w:pPr>
      <w:spacing w:lineRule="exact" w:line="240" w:before="180" w:after="80"/>
      <w:outlineLvl w:val="1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000000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IndexHeading">
    <w:name w:val="Index Heading"/>
    <w:basedOn w:val="Heading"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Index1">
    <w:name w:val="Index 1"/>
    <w:basedOn w:val="Index"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Index2">
    <w:name w:val="Index 2"/>
    <w:basedOn w:val="Index"/>
    <w:pPr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Index3">
    <w:name w:val="Index 3"/>
    <w:basedOn w:val="Index"/>
    <w:pPr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IndexSeparator">
    <w:name w:val="Index Separator"/>
    <w:basedOn w:val="Index"/>
    <w:qFormat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Heading">
    <w:name w:val="TOC Heading"/>
    <w:basedOn w:val="IndexHeading"/>
    <w:qFormat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TOC1">
    <w:name w:val="TOC 1"/>
    <w:basedOn w:val="Index"/>
    <w:pPr>
      <w:tabs>
        <w:tab w:val="clear" w:pos="720"/>
        <w:tab w:val="right" w:pos="9026" w:leader="dot"/>
      </w:tabs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2">
    <w:name w:val="TOC 2"/>
    <w:basedOn w:val="Index"/>
    <w:pPr>
      <w:tabs>
        <w:tab w:val="clear" w:pos="720"/>
        <w:tab w:val="right" w:pos="8743" w:leader="dot"/>
      </w:tabs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TOC3">
    <w:name w:val="TOC 3"/>
    <w:basedOn w:val="Index"/>
    <w:pPr>
      <w:tabs>
        <w:tab w:val="clear" w:pos="720"/>
        <w:tab w:val="right" w:pos="8459" w:leader="dot"/>
      </w:tabs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TOC4">
    <w:name w:val="TOC 4"/>
    <w:basedOn w:val="Index"/>
    <w:pPr>
      <w:tabs>
        <w:tab w:val="clear" w:pos="720"/>
        <w:tab w:val="right" w:pos="8176" w:leader="dot"/>
      </w:tabs>
      <w:spacing w:lineRule="auto" w:line="240" w:before="0" w:after="0"/>
      <w:ind w:hanging="0" w:left="850"/>
    </w:pPr>
    <w:rPr>
      <w:rFonts w:ascii="Arial" w:hAnsi="Arial" w:eastAsia="Arial" w:cs="Arial"/>
      <w:sz w:val="22"/>
      <w:szCs w:val="22"/>
    </w:rPr>
  </w:style>
  <w:style w:type="paragraph" w:styleId="TOC5">
    <w:name w:val="TOC 5"/>
    <w:basedOn w:val="Index"/>
    <w:pPr>
      <w:tabs>
        <w:tab w:val="clear" w:pos="720"/>
        <w:tab w:val="right" w:pos="7892" w:leader="dot"/>
      </w:tabs>
      <w:spacing w:lineRule="auto" w:line="240" w:before="0" w:after="0"/>
      <w:ind w:hanging="0" w:left="1134"/>
    </w:pPr>
    <w:rPr>
      <w:rFonts w:ascii="Arial" w:hAnsi="Arial" w:eastAsia="Arial" w:cs="Arial"/>
      <w:sz w:val="22"/>
      <w:szCs w:val="22"/>
    </w:rPr>
  </w:style>
  <w:style w:type="paragraph" w:styleId="TOC6">
    <w:name w:val="TOC 6"/>
    <w:basedOn w:val="Index"/>
    <w:pPr>
      <w:tabs>
        <w:tab w:val="clear" w:pos="720"/>
        <w:tab w:val="right" w:pos="7609" w:leader="dot"/>
      </w:tabs>
      <w:spacing w:lineRule="auto" w:line="240" w:before="0" w:after="0"/>
      <w:ind w:hanging="0" w:left="1417"/>
    </w:pPr>
    <w:rPr>
      <w:rFonts w:ascii="Arial" w:hAnsi="Arial" w:eastAsia="Arial" w:cs="Arial"/>
      <w:sz w:val="22"/>
      <w:szCs w:val="22"/>
    </w:rPr>
  </w:style>
  <w:style w:type="paragraph" w:styleId="TOC7">
    <w:name w:val="TOC 7"/>
    <w:basedOn w:val="Index"/>
    <w:pPr>
      <w:tabs>
        <w:tab w:val="clear" w:pos="720"/>
        <w:tab w:val="right" w:pos="7325" w:leader="dot"/>
      </w:tabs>
      <w:spacing w:lineRule="auto" w:line="240" w:before="0" w:after="0"/>
      <w:ind w:hanging="0" w:left="1701"/>
    </w:pPr>
    <w:rPr>
      <w:rFonts w:ascii="Arial" w:hAnsi="Arial" w:eastAsia="Arial" w:cs="Arial"/>
      <w:sz w:val="22"/>
      <w:szCs w:val="22"/>
    </w:rPr>
  </w:style>
  <w:style w:type="paragraph" w:styleId="TOC8">
    <w:name w:val="TOC 8"/>
    <w:basedOn w:val="Index"/>
    <w:pPr>
      <w:tabs>
        <w:tab w:val="clear" w:pos="720"/>
        <w:tab w:val="right" w:pos="7042" w:leader="dot"/>
      </w:tabs>
      <w:spacing w:lineRule="auto" w:line="240" w:before="0" w:after="0"/>
      <w:ind w:hanging="0" w:left="1984"/>
    </w:pPr>
    <w:rPr>
      <w:rFonts w:ascii="Arial" w:hAnsi="Arial" w:eastAsia="Arial" w:cs="Arial"/>
      <w:sz w:val="22"/>
      <w:szCs w:val="22"/>
    </w:rPr>
  </w:style>
  <w:style w:type="paragraph" w:styleId="TOC9">
    <w:name w:val="TOC 9"/>
    <w:basedOn w:val="Index"/>
    <w:pPr>
      <w:tabs>
        <w:tab w:val="clear" w:pos="720"/>
        <w:tab w:val="right" w:pos="6758" w:leader="dot"/>
      </w:tabs>
      <w:spacing w:lineRule="auto" w:line="240" w:before="0" w:after="0"/>
      <w:ind w:hanging="0" w:left="2268"/>
    </w:pPr>
    <w:rPr>
      <w:rFonts w:ascii="Arial" w:hAnsi="Arial" w:eastAsia="Arial" w:cs="Arial"/>
      <w:sz w:val="22"/>
      <w:szCs w:val="22"/>
    </w:rPr>
  </w:style>
  <w:style w:type="paragraph" w:styleId="Contents10">
    <w:name w:val="Contents 10"/>
    <w:basedOn w:val="Index"/>
    <w:qFormat/>
    <w:pPr>
      <w:tabs>
        <w:tab w:val="clear" w:pos="720"/>
        <w:tab w:val="right" w:pos="6475" w:leader="dot"/>
      </w:tabs>
      <w:spacing w:lineRule="auto" w:line="240" w:before="0" w:after="0"/>
      <w:ind w:hanging="0" w:left="2551"/>
    </w:pPr>
    <w:rPr>
      <w:rFonts w:ascii="Arial" w:hAnsi="Arial" w:eastAsia="Arial" w:cs="Arial"/>
      <w:sz w:val="22"/>
      <w:szCs w:val="22"/>
    </w:rPr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FrameContents">
    <w:name w:val="Frame Contents"/>
    <w:basedOn w:val="Normal"/>
    <w:qFormat/>
    <w:pPr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ListContents">
    <w:name w:val="List Contents"/>
    <w:basedOn w:val="Normal"/>
    <w:qFormat/>
    <w:pPr>
      <w:spacing w:lineRule="auto" w:line="240" w:before="0" w:after="0"/>
      <w:ind w:left="567"/>
    </w:pPr>
    <w:rPr>
      <w:rFonts w:ascii="Arial" w:hAnsi="Arial" w:eastAsia="Arial" w:cs="Arial"/>
      <w:sz w:val="22"/>
      <w:szCs w:val="2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header" Target="header1.xml"/><Relationship Id="rId8" Type="http://schemas.openxmlformats.org/officeDocument/2006/relationships/footer" Target="footer4.xml"/><Relationship Id="rId9" Type="http://schemas.openxmlformats.org/officeDocument/2006/relationships/footer" Target="footer5.xml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2026-08-08T16:31:26Z</dcterms:created>
  <dc:creator>Noé Calle</dc:creator>
  <dc:description>PROTOTIPO INDEPENDIENTE - no constituye una implementación oficial ni cuenta con aprobación institucional de la CGR.</dc:description>
  <dc:language>en-US</dc:language>
  <cp:lastModifiedBy/>
  <dcterms:modified xsi:type="dcterms:W3CDTF">2026-08-08T16:31:29Z</dcterms:modified>
  <cp:revision>2</cp:revision>
  <dc:subject/>
  <dc:title>Limpieza y Preprocesamiento de Datos para Identificación de Proveedores Favoritos - Prototipo independiente CGR 1.8.2</dc:title>
</cp:coreProperties>
</file>