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3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Desarrollo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248_2937512272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Regresión Logística, Random Forest y Gradient Boosting con las mismas predicciones out-of-fold. Random Forest obtuvo el mayor AUC-PR (0.991). La evidencia histórica de Spark MLlib se reproduce en local[*], mientras que la ruta operacional vigente admite master configurable y spark_sql Spark-native sin toPandas().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248_2937512272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0_2937512272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2_2937512272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4_2937512272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6_2937512272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8_2937512272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0_2937512272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2_2937512272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4_2937512272">
            <w:r>
              <w:rPr>
                <w:rStyle w:val="IndexLink"/>
              </w:rPr>
              <w:t>3.1 Patrones y tendencias identificadas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6_2937512272">
            <w:r>
              <w:rPr>
                <w:rStyle w:val="IndexLink"/>
              </w:rPr>
              <w:t>3.2 Análisis estadístico de variables clave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8_2937512272">
            <w:r>
              <w:rPr>
                <w:rStyle w:val="IndexLink"/>
              </w:rPr>
              <w:t>3.3 Propuesta fundamentada de algoritmos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0_2937512272">
            <w:r>
              <w:rPr>
                <w:rStyle w:val="IndexLink"/>
              </w:rPr>
              <w:t>3.4 Diseño y arquitectura del modelo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2_2937512272">
            <w:r>
              <w:rPr>
                <w:rStyle w:val="IndexLink"/>
              </w:rPr>
              <w:t>3.5 Reporte de implementación usando Apache Spark MLlib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4_2937512272">
            <w:r>
              <w:rPr>
                <w:rStyle w:val="IndexLink"/>
              </w:rPr>
              <w:t>3.6 Parámetros de entrenamiento y configuraciones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6_2937512272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8_2937512272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0_2937512272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2_2937512272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4_2937512272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6_2937512272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8_2937512272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0_2937512272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2_2937512272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4_2937512272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6_2937512272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8_2937512272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250_2937512272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Comparación de algoritmos candidatos para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Implementación Spark MLlib para favoritismo</w:t>
      </w:r>
    </w:p>
    <w:p>
      <w:pPr>
        <w:pStyle w:val="Heading1"/>
        <w:spacing w:lineRule="exact" w:line="240" w:before="240" w:after="120"/>
        <w:rPr/>
      </w:pPr>
      <w:bookmarkStart w:id="2" w:name="__RefHeading___Toc2252_2937512272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Concentración de proveedores por entidad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Diagrama del modelo de datos del PoC</w:t>
      </w:r>
    </w:p>
    <w:p>
      <w:pPr>
        <w:pStyle w:val="Heading1"/>
        <w:spacing w:lineRule="exact" w:line="240" w:before="240" w:after="120"/>
        <w:rPr/>
      </w:pPr>
      <w:bookmarkStart w:id="3" w:name="__RefHeading___Toc2254_2937512272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256_2937512272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258_2937512272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cubre patrones y tendencias, análisis estadístico, propuesta fundamentada de algoritmos, diseño/arquitectura, implementación Spark MLlib y parámetros de entrenamiento.</w:t>
      </w:r>
    </w:p>
    <w:p>
      <w:pPr>
        <w:pStyle w:val="Heading1"/>
        <w:spacing w:lineRule="exact" w:line="240" w:before="240" w:after="120"/>
        <w:rPr/>
      </w:pPr>
      <w:bookmarkStart w:id="6" w:name="__RefHeading___Toc2260_2937512272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262_2937512272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264_2937512272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Patrones y tendencias identificadas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muestra concentración contractual por proveedor-entidad, diferencias entre modalidades y patrones temporales que justifican un enfoque de puntuación de riesgo a nivel agregado.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Concentración de proveedores por entidad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2266_2937512272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Análisis estadístico de variables clave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contiene NaN pares proveedor-entidad y NaN positivos sintéticos. Debido al fuerte desbalance, AUC-PR se adopta como criterio primario; AUC-ROC, precision, recall y F1 se conservan como métricas complementarias.</w:t>
      </w:r>
    </w:p>
    <w:p>
      <w:pPr>
        <w:pStyle w:val="Heading2"/>
        <w:spacing w:lineRule="exact" w:line="240" w:before="180" w:after="80"/>
        <w:rPr/>
      </w:pPr>
      <w:bookmarkStart w:id="10" w:name="__RefHeading___Toc2268_2937512272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Propuesta fundamentada de algoritmos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Comparación de algoritmos candidatos para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0.751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55.3%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95.5%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0.700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0.911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se selecciona como candidato principal por AUC-PR y por su compatibilidad con explicabilidad basada en importancia de variables y SHAP.</w:t>
      </w:r>
    </w:p>
    <w:p>
      <w:pPr>
        <w:pStyle w:val="Heading2"/>
        <w:spacing w:lineRule="exact" w:line="240" w:before="180" w:after="80"/>
        <w:rPr/>
      </w:pPr>
      <w:bookmarkStart w:id="11" w:name="__RefHeading___Toc2270_2937512272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Diseño y arquitectura del modelo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conserva una ruta histórica fuente -&gt; Bronce -&gt; limpieza/feature engineering -&gt; Plata -&gt; benchmark -&gt; Oro para reproducibilidad y una ruta operacional fuente canónica -&gt; TRAIN/INFERENCE -&gt; champion Spark -&gt; scores. El serving operacional no depende de materializar la fuente spark_sql en pandas o en la Plata legacy.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Diagrama del modelo de datos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2272_2937512272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Reporte de implementación usando Apache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Implementación Spark MLlib para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Motor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Apache Spark MLlib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local[*]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Algoritmo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Dataset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lakehouse/plata/contratos_procesados.csv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3-fold estratificado con orden xxhash64 determinístico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 del sanity check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Advertencia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 con solo 6 positivos: la métrica CV es de alta varianza y no se usa como estimación de desempeño productivo. Ejecución Spark real local; clúster CGR pendiente.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3" w:name="__RefHeading___Toc2274_2937512272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Parámetros de entrenamiento y configuraciones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sklearn Random Forest seleccionado: n_estimators=100, max_depth=4, min_samples_leaf=1.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Spark MLlib Random Forest: numTrees=100, maxDepth=3.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Versiones registradas en run_manifest.json: PySpark 4.1.1; scikit-learn 1.8.0.</w:t>
      </w:r>
    </w:p>
    <w:p>
      <w:pPr>
        <w:pStyle w:val="Heading1"/>
        <w:spacing w:lineRule="exact" w:line="240" w:before="240" w:after="120"/>
        <w:rPr/>
      </w:pPr>
      <w:bookmarkStart w:id="14" w:name="__RefHeading___Toc2276_2937512272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ejecutable con las mismas particiones out-of-fold.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Grid search de Random Forest por AUC-PR.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Implementación y ejecución real de RandomForestClassifier con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Persistencia de rankings, configuración y resumen machine-readable en outputs/.</w:t>
      </w:r>
    </w:p>
    <w:p>
      <w:pPr>
        <w:pStyle w:val="Heading1"/>
        <w:spacing w:lineRule="exact" w:line="240" w:before="240" w:after="120"/>
        <w:rPr/>
      </w:pPr>
      <w:bookmarkStart w:id="15" w:name="__RefHeading___Toc2278_2937512272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Contenido exigido por el TDR implementado y verificado para el PoC, con benchmark MLlib local reproducible y contrato operacional Spark-native. La validación de escalabilidad, carga y rendimiento sobre infraestructura institucional queda pendiente de la CGR.</w:t>
      </w:r>
    </w:p>
    <w:p>
      <w:pPr>
        <w:pStyle w:val="Heading1"/>
        <w:spacing w:lineRule="exact" w:line="240" w:before="240" w:after="120"/>
        <w:rPr/>
      </w:pPr>
      <w:bookmarkStart w:id="16" w:name="__RefHeading___Toc2280_2937512272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benchmark contiene solo 30 positivos sintéticos; la métrica Spark CV tiene alta varianza y no se interpreta como desempeño productivo.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selección final en producción requiere datos internos y ground truth acordado con auditores.</w:t>
      </w:r>
    </w:p>
    <w:p>
      <w:pPr>
        <w:pStyle w:val="Heading1"/>
        <w:spacing w:lineRule="exact" w:line="240" w:before="240" w:after="120"/>
        <w:rPr/>
      </w:pPr>
      <w:bookmarkStart w:id="17" w:name="__RefHeading___Toc2282_2937512272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es el candidato técnico preferido del PoC por AUC-PR e interpretabilidad. Spark MLlib forma parte tanto del benchmark histórico como del serving operacional; la validación de carga, rendimiento y umbrales productivos requiere el entorno CGR.</w:t>
      </w:r>
    </w:p>
    <w:p>
      <w:pPr>
        <w:pStyle w:val="Heading1"/>
        <w:spacing w:lineRule="exact" w:line="240" w:before="240" w:after="120"/>
        <w:rPr/>
      </w:pPr>
      <w:bookmarkStart w:id="18" w:name="__RefHeading___Toc2284_2937512272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19" w:name="__RefHeading___Toc2286_2937512272"/>
      <w:bookmarkEnd w:id="19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20" w:name="__RefHeading___Toc2288_2937512272"/>
      <w:bookmarkEnd w:id="20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1" w:name="__RefHeading___Toc2290_2937512272"/>
      <w:bookmarkEnd w:id="2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2" w:name="__RefHeading___Toc2292_2937512272"/>
      <w:bookmarkEnd w:id="2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3" w:name="__RefHeading___Toc2294_2937512272"/>
      <w:bookmarkEnd w:id="23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4" w:name="__RefHeading___Toc2296_2937512272"/>
      <w:bookmarkEnd w:id="24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5" w:name="__RefHeading___Toc2298_2937512272"/>
      <w:bookmarkEnd w:id="2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Desarrollo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2026-08-10T23:29:42Z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2026-08-10T23:29:46Z</dcterms:modified>
  <cp:revision>2</cp:revision>
  <dc:subject/>
  <dc:title>Selección del Algoritmo y Desarrollo del Modelo para Identificación de Proveedores Favoritos - Prototipo independiente CGR 1.8.2</dc:title>
</cp:coreProperties>
</file>