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0.991, AUC-ROC 1.000, precision 100.0%, recall 90.9% y F1 0.952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2937512272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2937512272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2937512272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2937512272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2937512272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2937512272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2937512272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2937512272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2937512272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2937512272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2937512272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293751227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2937512272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2937512272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2937512272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2937512272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2937512272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2937512272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2937512272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2937512272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undefined. La métrica primaria es AUC-PR por desbalance.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 en desarrollo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StratifiedKFold(n_splits=5,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293751227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293751227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293751227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2937512272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2937512272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2937512272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2937512272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2937512272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2937512272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2937512272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2937512272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2026-08-10T23:29:47Z</dcterms:modified>
  <cp:revision>2</cp:revision>
  <dc:subject/>
  <dc:title>Entrenamiento y Validación del Modelo para Identificación de Proveedores Favoritos - Prototipo independiente CGR 1.8.2</dc:title>
</cp:coreProperties>
</file>