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1</w:t>
      </w:r>
    </w:p>
    <w:p>
      <w:pPr>
        <w:spacing w:after="300" w:before="150"/>
        <w:jc w:val="center"/>
      </w:pPr>
      <w:r>
        <w:rPr>
          <w:b/>
          <w:bCs/>
          <w:sz w:val="30"/>
          <w:szCs w:val="30"/>
        </w:rPr>
        <w:t xml:space="preserve">Plan de Trabajo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1. Introducción</w:t>
      </w:r>
    </w:p>
    <w:p>
      <w:pPr>
        <w:spacing w:after="140"/>
      </w:pPr>
      <w:r>
        <w:rPr>
          <w:sz w:val="21"/>
          <w:szCs w:val="21"/>
        </w:rPr>
        <w:t xml:space="preserve">Plan de trabajo de una prueba de concepto independiente basada en el TDR público del Proyecto Interno 1.8.2. El repositorio no constituye una implementación oficial ni cuenta con aprobación institucional de la CGR.</w:t>
      </w:r>
    </w:p>
    <w:p>
      <w:pPr>
        <w:pStyle w:val="Heading1"/>
        <w:spacing w:after="140" w:before="260"/>
      </w:pPr>
      <w:r>
        <w:t xml:space="preserve">2. Objetivo</w:t>
      </w:r>
    </w:p>
    <w:p>
      <w:pPr>
        <w:spacing w:after="140"/>
      </w:pPr>
      <w:r>
        <w:rPr>
          <w:sz w:val="21"/>
          <w:szCs w:val="21"/>
        </w:rPr>
        <w:t xml:space="preserve">Construir un PoC reproducible que cubra preparación de datos, selección y evaluación de modelos, análisis de vínculos, orquestación, trazabilidad y artefactos de reporting, diferenciando claramente lo demostrado localmente de las dependencias institucionales.</w:t>
      </w:r>
    </w:p>
    <w:p>
      <w:pPr>
        <w:pStyle w:val="Heading1"/>
        <w:spacing w:after="140" w:before="260"/>
      </w:pPr>
      <w:r>
        <w:t xml:space="preserve">3. Productos a Alcanzar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900"/>
      </w:tblGrid>
      <w:tr>
        <w:trPr>
          <w:cantSplit/>
          <w:tblHeader/>
        </w:trP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4200"/>
            <w:shd w:fill="1F4E79" w:val="clear"/>
            <w:tcMar>
              <w:top w:type="dxa" w:w="50"/>
              <w:left w:type="dxa" w:w="90"/>
              <w:bottom w:type="dxa" w:w="50"/>
              <w:right w:type="dxa" w:w="90"/>
            </w:tcMar>
            <w:vAlign w:val="center"/>
          </w:tcPr>
          <w:p>
            <w:pPr>
              <w:jc w:val="left"/>
            </w:pPr>
            <w:r>
              <w:rPr>
                <w:b/>
                <w:bCs/>
                <w:color w:val="FFFFFF"/>
                <w:sz w:val="19"/>
                <w:szCs w:val="19"/>
              </w:rPr>
              <w:t xml:space="preserve">Producto</w:t>
            </w:r>
          </w:p>
        </w:tc>
        <w:tc>
          <w:tcPr>
            <w:tcW w:type="dxa" w:w="3900"/>
            <w:shd w:fill="1F4E79" w:val="clear"/>
            <w:tcMar>
              <w:top w:type="dxa" w:w="50"/>
              <w:left w:type="dxa" w:w="90"/>
              <w:bottom w:type="dxa" w:w="50"/>
              <w:right w:type="dxa" w:w="90"/>
            </w:tcMar>
            <w:vAlign w:val="center"/>
          </w:tcPr>
          <w:p>
            <w:pPr>
              <w:jc w:val="left"/>
            </w:pPr>
            <w:r>
              <w:rPr>
                <w:b/>
                <w:bCs/>
                <w:color w:val="FFFFFF"/>
                <w:sz w:val="19"/>
                <w:szCs w:val="19"/>
              </w:rPr>
              <w:t xml:space="preserve">Alcance</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Metodología, alcance y cronograma de referencia</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Preprocesamiento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Limpieza y features proveedor-entidad</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Modelo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Comparación de algoritmos y selección</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Entrenamiento/Validación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CV, tuning, métricas y explicabilidad</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Preprocesamiento — Fraccionamiento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Ventanas temporales y contexto normativo</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Modelo — Fraccionamiento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Anomalías + regla interpretable + holdout</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Informe Final</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Consolidación, limitaciones y ruta institucional</w:t>
            </w:r>
          </w:p>
        </w:tc>
      </w:tr>
    </w:tbl>
    <w:p>
      <w:pPr>
        <w:pStyle w:val="Heading1"/>
        <w:spacing w:after="140" w:before="260"/>
      </w:pPr>
      <w:r>
        <w:t xml:space="preserve">4. Enfoque de Ejecución</w:t>
      </w:r>
    </w:p>
    <w:p>
      <w:pPr>
        <w:pStyle w:val="ListParagraph"/>
        <w:numPr>
          <w:ilvl w:val="0"/>
          <w:numId w:val="1"/>
        </w:numPr>
        <w:spacing w:after="70"/>
      </w:pPr>
      <w:r>
        <w:rPr>
          <w:sz w:val="21"/>
          <w:szCs w:val="21"/>
        </w:rPr>
        <w:t xml:space="preserve">Pipeline sintético reproducible con publicación Bronce → Plata → Oro.</w:t>
      </w:r>
    </w:p>
    <w:p>
      <w:pPr>
        <w:pStyle w:val="ListParagraph"/>
        <w:numPr>
          <w:ilvl w:val="0"/>
          <w:numId w:val="1"/>
        </w:numPr>
        <w:spacing w:after="70"/>
      </w:pPr>
      <w:r>
        <w:rPr>
          <w:sz w:val="21"/>
          <w:szCs w:val="21"/>
        </w:rPr>
        <w:t xml:space="preserve">Validación de integridad OCDS sobre datos públicos, separada del benchmark sintético.</w:t>
      </w:r>
    </w:p>
    <w:p>
      <w:pPr>
        <w:pStyle w:val="ListParagraph"/>
        <w:numPr>
          <w:ilvl w:val="0"/>
          <w:numId w:val="1"/>
        </w:numPr>
        <w:spacing w:after="70"/>
      </w:pPr>
      <w:r>
        <w:rPr>
          <w:sz w:val="21"/>
          <w:szCs w:val="21"/>
        </w:rPr>
        <w:t xml:space="preserve">CI de regresión y smoke para reconstrucción de datasets y selección de modelos.</w:t>
      </w:r>
    </w:p>
    <w:p>
      <w:pPr>
        <w:pStyle w:val="ListParagraph"/>
        <w:numPr>
          <w:ilvl w:val="0"/>
          <w:numId w:val="1"/>
        </w:numPr>
        <w:spacing w:after="70"/>
      </w:pPr>
      <w:r>
        <w:rPr>
          <w:sz w:val="21"/>
          <w:szCs w:val="21"/>
        </w:rPr>
        <w:t xml:space="preserve">Documentación generada desde outputs/evidencia_documental.json, evitando cifras copiadas a mano.</w:t>
      </w:r>
    </w:p>
    <w:p>
      <w:pPr>
        <w:pStyle w:val="Heading1"/>
        <w:spacing w:after="140" w:before="260"/>
      </w:pPr>
      <w:r>
        <w:t xml:space="preserve">5. Cronograma de Referencia del TDR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tblGrid>
      <w:tr>
        <w:trPr>
          <w:cantSplit/>
          <w:tblHeader/>
        </w:trPr>
        <w:tc>
          <w:tcPr>
            <w:tcW w:type="dxa" w:w="4400"/>
            <w:shd w:fill="1F4E79" w:val="clear"/>
            <w:tcMar>
              <w:top w:type="dxa" w:w="50"/>
              <w:left w:type="dxa" w:w="90"/>
              <w:bottom w:type="dxa" w:w="50"/>
              <w:right w:type="dxa" w:w="90"/>
            </w:tcMar>
            <w:vAlign w:val="center"/>
          </w:tcPr>
          <w:p>
            <w:pPr>
              <w:jc w:val="left"/>
            </w:pPr>
            <w:r>
              <w:rPr>
                <w:b/>
                <w:bCs/>
                <w:color w:val="FFFFFF"/>
                <w:sz w:val="19"/>
                <w:szCs w:val="19"/>
              </w:rPr>
              <w:t xml:space="preserve">Producto</w:t>
            </w:r>
          </w:p>
        </w:tc>
        <w:tc>
          <w:tcPr>
            <w:tcW w:type="dxa" w:w="4400"/>
            <w:shd w:fill="1F4E79" w:val="clear"/>
            <w:tcMar>
              <w:top w:type="dxa" w:w="50"/>
              <w:left w:type="dxa" w:w="90"/>
              <w:bottom w:type="dxa" w:w="50"/>
              <w:right w:type="dxa" w:w="90"/>
            </w:tcMar>
            <w:vAlign w:val="center"/>
          </w:tcPr>
          <w:p>
            <w:pPr>
              <w:jc w:val="left"/>
            </w:pPr>
            <w:r>
              <w:rPr>
                <w:b/>
                <w:bCs/>
                <w:color w:val="FFFFFF"/>
                <w:sz w:val="19"/>
                <w:szCs w:val="19"/>
              </w:rPr>
              <w:t xml:space="preserve">Plazo</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7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30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60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90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120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150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180 días</w:t>
            </w:r>
          </w:p>
        </w:tc>
      </w:tr>
    </w:tbl>
    <w:p>
      <w:pPr>
        <w:pStyle w:val="Heading1"/>
        <w:spacing w:after="140" w:before="260"/>
      </w:pPr>
      <w:r>
        <w:t xml:space="preserve">6. Estado Actual del PoC</w:t>
      </w:r>
    </w:p>
    <w:p>
      <w:pPr>
        <w:spacing w:after="140"/>
      </w:pPr>
      <w:r>
        <w:rPr>
          <w:sz w:val="21"/>
          <w:szCs w:val="21"/>
        </w:rPr>
        <w:t xml:space="preserve">P0 de integridad OCDS cerrado. Núcleo técnico P1 endurecido con validación independiente, CI, separación Plata/Oro, Airflow con entorno de proyecto, promoción humana de modelos y evidencia documental automática.</w:t>
      </w:r>
    </w:p>
    <w:p>
      <w:pPr>
        <w:spacing w:after="140"/>
      </w:pPr>
      <w:r>
        <w:rPr>
          <w:sz w:val="21"/>
          <w:szCs w:val="21"/>
        </w:rPr>
        <w:t xml:space="preserve">Nota metodológica: este es un prototipo independiente. Las métricas del benchmark sintético evalúan la coherencia del PoC y no estiman desempeño productivo. Las salidas sobre datos públicos son señales de priorización para revisión de auditor y no constituyen hallazgos ni determinaciones automáticas de irregularidad.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Plan de Trabajo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2026-08-08T00:02:32.023Z</dcterms:created>
  <dcterms:modified xsi:type="dcterms:W3CDTF">2026-08-08T00:02:32.023Z</dcterms:modified>
</cp:coreProperties>
</file>

<file path=docProps/custom.xml><?xml version="1.0" encoding="utf-8"?>
<Properties xmlns="http://schemas.openxmlformats.org/officeDocument/2006/custom-properties" xmlns:vt="http://schemas.openxmlformats.org/officeDocument/2006/docPropsVTypes"/>
</file>