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2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Limpieza y Preprocesamiento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procesaron 3,709 contratos sintéticos para construir 2,328 pares proveedor-entidad, con 6 positivos sembrados. El dataset incorpora features separadas para Contratación Directa y Comparación de Precios.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limpieza, transformación y feature engineering del caso de uso de priorización de posible favoritismo.</w:t>
      </w:r>
    </w:p>
    <w:p>
      <w:pPr>
        <w:pStyle w:val="Heading1"/>
        <w:spacing w:after="140" w:before="260"/>
      </w:pPr>
      <w:r>
        <w:t xml:space="preserve">2. Objetivo</w:t>
      </w:r>
    </w:p>
    <w:p>
      <w:pPr>
        <w:spacing w:after="140"/>
      </w:pPr>
      <w:r>
        <w:rPr>
          <w:sz w:val="21"/>
          <w:szCs w:val="21"/>
        </w:rPr>
        <w:t xml:space="preserve">Desarrollar y validar una prueba de concepto de analítica de datos que priorice señales de posible favoritismo, posible fraccionamiento y vínculos proveedor-funcionario para apoyar la revisión del auditor.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Calidad base: 241 valores nulos distribuidos en 237 filas; la imputación se ejecuta de forma reproducible.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Tratamiento de monto: percentil 99 = S/ 736,486; 37 registros quedan identificados para capping en la transformación.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Codificación y normalización reproducibles; las modalidades se preservan sin convertir Comparación de Precios en sinónimo de Contratación Directa.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Features proveedor-entidad: volumen, monto, diversidad de objetos, concentración, funcionarios distintos, actividad temporal, intensidad contractual y variables separadas por modalidad.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dataset analítico se publica en lakehouse/plata/dataset_favoritismo.csv y es la entrada preferente de los modelos.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Generación determinística del benchmark sintético con hard negatives.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EDA, limpieza, imputación, capping, codificación y feature engineering.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Publicación en capa Plata y validación automática de esquema en GitHub Actions.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Núcleo técnico completado para el PoC y cubierto por CI. No equivale a certificación con datos internos CGR.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ground truth es sintético; sirve para probar el pipeline, no para estimar precisión real.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validación institucional requiere fuentes internas, reglas de negocio acordadas y etiquetado por auditores.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El preprocesamiento es reproducible y ahora evita una de las principales fuentes de sesgo normativo del diseño anterior: colapsar modalidades distintas en una sola variable.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Código, datasets y evidencia machine-readable: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Limpieza y Preprocesamiento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2026-08-08T00:02:32.053Z</dcterms:created>
  <dcterms:modified xsi:type="dcterms:W3CDTF">2026-08-08T00:02:32.053Z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