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00"/>
      </w:pPr>
    </w:p>
    <w:p>
      <w:pPr>
        <w:jc w:val="center"/>
      </w:pPr>
      <w:r>
        <w:rPr>
          <w:b/>
          <w:bCs/>
          <w:color w:val="1F4E79"/>
          <w:sz w:val="26"/>
          <w:szCs w:val="26"/>
        </w:rPr>
        <w:t xml:space="preserve">PRODUCTO N° 4</w:t>
      </w:r>
    </w:p>
    <w:p>
      <w:pPr>
        <w:spacing w:after="300" w:before="150"/>
        <w:jc w:val="center"/>
      </w:pPr>
      <w:r>
        <w:rPr>
          <w:b/>
          <w:bCs/>
          <w:sz w:val="30"/>
          <w:szCs w:val="30"/>
        </w:rPr>
        <w:t xml:space="preserve">Entrenamiento y Validación — Favoritismo</w:t>
      </w:r>
    </w:p>
    <w:p>
      <w:pPr>
        <w:spacing w:after="600"/>
        <w:jc w:val="center"/>
      </w:pPr>
      <w:r>
        <w:rPr>
          <w:i/>
          <w:iCs/>
          <w:sz w:val="21"/>
          <w:szCs w:val="21"/>
        </w:rPr>
        <w:t xml:space="preserve">"Módulo de Análisis de Datos para Dar Soporte a los Auditores Durante la Ejecución de los Servicios de Control" — Proyecto Interno 1.8.2</w:t>
      </w:r>
    </w:p>
    <w:p>
      <w:pPr>
        <w:spacing w:before="700"/>
        <w:jc w:val="center"/>
      </w:pPr>
      <w:r>
        <w:rPr>
          <w:sz w:val="19"/>
          <w:szCs w:val="19"/>
        </w:rPr>
        <w:t xml:space="preserve">Prototipo independiente elaborado como prueba de concepto (proof of concept) — no constituye una postulación formal, una implementación oficial, ni cuenta con aprobación institucional de la CGR</w:t>
      </w:r>
    </w:p>
    <w:p>
      <w:pPr>
        <w:spacing w:before="900"/>
        <w:jc w:val="center"/>
      </w:pPr>
      <w:r>
        <w:rPr>
          <w:b/>
          <w:bCs/>
          <w:sz w:val="18"/>
          <w:szCs w:val="18"/>
        </w:rPr>
        <w:t xml:space="preserve">Repositorio de código fuente:</w:t>
      </w:r>
    </w:p>
    <w:p>
      <w:pPr>
        <w:jc w:val="center"/>
      </w:pPr>
      <w:r>
        <w:rPr>
          <w:color w:val="1F4E79"/>
          <w:sz w:val="18"/>
          <w:szCs w:val="18"/>
        </w:rPr>
        <w:t xml:space="preserve">https://github.com/NoeCalle/cgr-analisis-datos</w:t>
      </w:r>
    </w:p>
    <w:p>
      <w:pPr>
        <w:spacing w:before="1000"/>
        <w:jc w:val="center"/>
      </w:pPr>
      <w:r>
        <w:rPr>
          <w:sz w:val="18"/>
          <w:szCs w:val="18"/>
        </w:rPr>
        <w:t xml:space="preserve">Agosto 2026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140" w:before="260"/>
      </w:pPr>
      <w:r>
        <w:t xml:space="preserve">Resumen Ejecutivo</w:t>
      </w:r>
    </w:p>
    <w:p>
      <w:pPr>
        <w:spacing w:after="140"/>
      </w:pPr>
      <w:r>
        <w:rPr>
          <w:sz w:val="21"/>
          <w:szCs w:val="21"/>
        </w:rPr>
        <w:t xml:space="preserve">La validación vigente evita el resultado artificialmente perfecto de versiones anteriores. Random Forest alcanza AUC-PR OOF 0.671, AUC-ROC 0.999, precision 66.7%, recall 33.3% y F1 0.444.</w:t>
      </w:r>
    </w:p>
    <w:p>
      <w:pPr>
        <w:spacing w:after="140"/>
      </w:pPr>
      <w:r>
        <w:rPr>
          <w:sz w:val="21"/>
          <w:szCs w:val="21"/>
        </w:rPr>
        <w:t xml:space="preserve">Nota metodológica: este es un prototipo independiente. Las métricas del benchmark sintético evalúan la coherencia del PoC y no estiman desempeño productivo. Las salidas sobre datos públicos son señales de priorización para revisión de auditor y no constituyen hallazgos ni determinaciones automáticas de irregularidad.</w:t>
      </w:r>
    </w:p>
    <w:p>
      <w:pPr>
        <w:pStyle w:val="Heading1"/>
        <w:spacing w:after="140" w:before="260"/>
      </w:pPr>
      <w:r>
        <w:t xml:space="preserve">Índice</w:t>
      </w:r>
    </w:p>
    <w:p>
      <w:pPr>
        <w:spacing w:after="140"/>
      </w:pPr>
      <w:r>
        <w:rPr>
          <w:sz w:val="21"/>
          <w:szCs w:val="21"/>
        </w:rPr>
        <w:t xml:space="preserve">1. Introducción — 2. Objetivo — 3. Productos alcanzados — 4. Actividades realizadas — 5. Grado de cumplimiento — 6. Dificultades y limitaciones — 7. Conclusiones y recomendaciones — 8. Anexos</w:t>
      </w:r>
    </w:p>
    <w:p>
      <w:pPr>
        <w:pStyle w:val="Heading1"/>
        <w:spacing w:after="140" w:before="260"/>
      </w:pPr>
      <w:r>
        <w:t xml:space="preserve">1. Introducción</w:t>
      </w:r>
    </w:p>
    <w:p>
      <w:pPr>
        <w:spacing w:after="140"/>
      </w:pPr>
      <w:r>
        <w:rPr>
          <w:sz w:val="21"/>
          <w:szCs w:val="21"/>
        </w:rPr>
        <w:t xml:space="preserve">Cubre entrenamiento, validación cruzada, tuning e interpretabilidad del modelo supervisado.</w:t>
      </w:r>
    </w:p>
    <w:p>
      <w:pPr>
        <w:pStyle w:val="Heading1"/>
        <w:spacing w:after="140" w:before="260"/>
      </w:pPr>
      <w:r>
        <w:t xml:space="preserve">2. Objetivo</w:t>
      </w:r>
    </w:p>
    <w:p>
      <w:pPr>
        <w:spacing w:after="140"/>
      </w:pPr>
      <w:r>
        <w:rPr>
          <w:sz w:val="21"/>
          <w:szCs w:val="21"/>
        </w:rPr>
        <w:t xml:space="preserve">Desarrollar y validar una prueba de concepto de analítica de datos que priorice señales de posible favoritismo, posible fraccionamiento y vínculos proveedor-funcionario para apoyar la revisión del auditor.</w:t>
      </w:r>
    </w:p>
    <w:p>
      <w:pPr>
        <w:pStyle w:val="Heading1"/>
        <w:spacing w:after="140" w:before="260"/>
      </w:pPr>
      <w:r>
        <w:t xml:space="preserve">3. Productos Alcanzados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Benchmark: 2,328 pares, 6 positivos sintéticos.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Métricas OOF Random Forest: AUC-PR 0.671, AUC-ROC 0.999, precision 66.7%, recall 33.3%, F1 0.444.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Tuning CV: mejor AUC-PR medio 0.844 con 100 árboles y profundidad 3.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SHAP se mantiene como mecanismo de explicación global e individual del Random Forest.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La evidencia se versiona en outputs/comparacion_modelos_favoritismo.json y outputs/tuning_favoritismo_resumen.json.</w:t>
      </w:r>
    </w:p>
    <w:p>
      <w:pPr>
        <w:pStyle w:val="Heading1"/>
        <w:spacing w:after="140" w:before="260"/>
      </w:pPr>
      <w:r>
        <w:t xml:space="preserve">4. Actividades Realizadas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Validación out-of-fold con particiones estratificadas.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Tuning sistemático y persistencia de configuración.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Generación de ranking y artefactos de explicación para revisión humana.</w:t>
      </w:r>
    </w:p>
    <w:p>
      <w:pPr>
        <w:pStyle w:val="Heading1"/>
        <w:spacing w:after="140" w:before="260"/>
      </w:pPr>
      <w:r>
        <w:t xml:space="preserve">5. Grado de Cumplimiento del Producto</w:t>
      </w:r>
    </w:p>
    <w:p>
      <w:pPr>
        <w:spacing w:after="140"/>
      </w:pPr>
      <w:r>
        <w:rPr>
          <w:sz w:val="21"/>
          <w:szCs w:val="21"/>
        </w:rPr>
        <w:t xml:space="preserve">Núcleo de validación completado para el PoC. No se afirma desempeño productivo ni certificación institucional.</w:t>
      </w:r>
    </w:p>
    <w:p>
      <w:pPr>
        <w:pStyle w:val="Heading1"/>
        <w:spacing w:after="140" w:before="260"/>
      </w:pPr>
      <w:r>
        <w:t xml:space="preserve">6. Dificultades y Limitaciones Encontradas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La clase positiva es muy pequeña; AUC-PR y F1 deben leerse como indicadores del benchmark, no como garantías.</w:t>
      </w:r>
    </w:p>
    <w:p>
      <w:pPr>
        <w:pStyle w:val="Heading1"/>
        <w:spacing w:after="140" w:before="260"/>
      </w:pPr>
      <w:r>
        <w:t xml:space="preserve">7. Conclusiones y Recomendaciones</w:t>
      </w:r>
    </w:p>
    <w:p>
      <w:pPr>
        <w:spacing w:after="140"/>
      </w:pPr>
      <w:r>
        <w:rPr>
          <w:sz w:val="21"/>
          <w:szCs w:val="21"/>
        </w:rPr>
        <w:t xml:space="preserve">La nueva validación es deliberadamente más exigente y creíble que la versión anterior. El modelo prioriza revisión; no determina favoritismo.</w:t>
      </w:r>
    </w:p>
    <w:p>
      <w:pPr>
        <w:pStyle w:val="Heading1"/>
        <w:spacing w:after="140" w:before="260"/>
      </w:pPr>
      <w:r>
        <w:t xml:space="preserve">8. Anexos</w:t>
      </w:r>
    </w:p>
    <w:p>
      <w:pPr>
        <w:spacing w:after="140"/>
      </w:pPr>
      <w:r>
        <w:rPr>
          <w:sz w:val="21"/>
          <w:szCs w:val="21"/>
        </w:rPr>
        <w:t xml:space="preserve">Código, datasets y evidencia machine-readable: ver repositorio indicado en la portada.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sz w:val="17"/>
        <w:szCs w:val="17"/>
      </w:rPr>
      <w:t xml:space="preserve">Página </w:t>
    </w:r>
    <w:r>
      <w:rPr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5"/>
        <w:szCs w:val="15"/>
      </w:rPr>
      <w:t xml:space="preserve">Entrenamiento y Validación — Favoritismo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2026-08-08T00:02:32.058Z</dcterms:created>
  <dcterms:modified xsi:type="dcterms:W3CDTF">2026-08-08T00:02:32.058Z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