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5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generaron 180 grupos proveedor-entidad-objeto, con 8 positivos sembrados, usando ventanas temporales y umbrales normativos dependientes de fecha y categoría.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feature engineering específico para señales de posible fraccionamiento, evitando un umbral fijo universal.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Ventana móvil de 15 días por proveedor-entidad-objeto.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acumulado en ventana, frecuencia contractual y proporción de montos bajo el umbral aplicable.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categoría estructurada goods/services/works tiene prioridad sobre inferencias por texto cuando está disponible.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motor normativo contempla el período analizado y el cambio de régimen desde 22/04/2025; no usa S/400 mil como regla general.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 publicado en lakehouse/plata/dataset_fraccionamiento.csv.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Cálculo de features temporales y normativas.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Pruebas de regresión para categorías, fechas y umbrales.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Publicación en Plata y smoke test automático.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Feature engineering técnico completado para el PoC.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ventana de 15 días es una heurística de priorización; por sí sola no prueba fraccionamiento.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normativa debe mantenerse parametrizada y revisada ante cambios legales o reglamentarios.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combinación de contexto temporal, objeto y régimen normativo es más defendible que una comparación con un tope fijo.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2026-08-08T00:02:32.059Z</dcterms:created>
  <dcterms:modified xsi:type="dcterms:W3CDTF">2026-08-08T00:02:32.059Z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