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</w:pPr>
    </w:p>
    <w:p>
      <w:pPr>
        <w:jc w:val="center"/>
      </w:pPr>
      <w:r>
        <w:rPr>
          <w:b/>
          <w:bCs/>
          <w:color w:val="1F4E79"/>
          <w:sz w:val="26"/>
          <w:szCs w:val="26"/>
        </w:rPr>
        <w:t xml:space="preserve">PRODUCTO N° 6</w:t>
      </w:r>
    </w:p>
    <w:p>
      <w:pPr>
        <w:spacing w:after="300" w:before="150"/>
        <w:jc w:val="center"/>
      </w:pPr>
      <w:r>
        <w:rPr>
          <w:b/>
          <w:bCs/>
          <w:sz w:val="30"/>
          <w:szCs w:val="30"/>
        </w:rPr>
        <w:t xml:space="preserve">Selección y Desarrollo del Modelo — Fraccionamiento</w:t>
      </w:r>
    </w:p>
    <w:p>
      <w:pPr>
        <w:spacing w:after="600"/>
        <w:jc w:val="center"/>
      </w:pPr>
      <w:r>
        <w:rPr>
          <w:i/>
          <w:iCs/>
          <w:sz w:val="21"/>
          <w:szCs w:val="21"/>
        </w:rPr>
        <w:t xml:space="preserve">"Módulo de Análisis de Datos para Dar Soporte a los Auditores Durante la Ejecución de los Servicios de Control" — Proyecto Interno 1.8.2</w:t>
      </w:r>
    </w:p>
    <w:p>
      <w:pPr>
        <w:spacing w:before="700"/>
        <w:jc w:val="center"/>
      </w:pPr>
      <w:r>
        <w:rPr>
          <w:sz w:val="19"/>
          <w:szCs w:val="19"/>
        </w:rPr>
        <w:t xml:space="preserve">Prototipo independiente elaborado como prueba de concepto (proof of concept) — no constituye una postulación formal, una implementación oficial, ni cuenta con aprobación institucional de la CGR</w:t>
      </w:r>
    </w:p>
    <w:p>
      <w:pPr>
        <w:spacing w:before="900"/>
        <w:jc w:val="center"/>
      </w:pPr>
      <w:r>
        <w:rPr>
          <w:b/>
          <w:bCs/>
          <w:sz w:val="18"/>
          <w:szCs w:val="18"/>
        </w:rPr>
        <w:t xml:space="preserve">Repositorio de código fuente:</w:t>
      </w:r>
    </w:p>
    <w:p>
      <w:pPr>
        <w:jc w:val="center"/>
      </w:pPr>
      <w:r>
        <w:rPr>
          <w:color w:val="1F4E79"/>
          <w:sz w:val="18"/>
          <w:szCs w:val="18"/>
        </w:rPr>
        <w:t xml:space="preserve">https://github.com/NoeCalle/cgr-analisis-datos</w:t>
      </w:r>
    </w:p>
    <w:p>
      <w:pPr>
        <w:spacing w:before="1000"/>
        <w:jc w:val="center"/>
      </w:pPr>
      <w:r>
        <w:rPr>
          <w:sz w:val="18"/>
          <w:szCs w:val="18"/>
        </w:rPr>
        <w:t xml:space="preserve">Agosto 2026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40" w:before="260"/>
      </w:pPr>
      <w:r>
        <w:t xml:space="preserve">Resumen Ejecutivo</w:t>
      </w:r>
    </w:p>
    <w:p>
      <w:pPr>
        <w:spacing w:after="140"/>
      </w:pPr>
      <w:r>
        <w:rPr>
          <w:sz w:val="21"/>
          <w:szCs w:val="21"/>
        </w:rPr>
        <w:t xml:space="preserve">Isolation Forest se selecciona como detector no supervisado del PoC, pero el holdout independiente muestra una limitación importante: AUC-PR 0.171 y F1 0.300. Por ello el resultado debe tratarse como priorización de revisión, no como hallazgo.</w:t>
      </w:r>
    </w:p>
    <w:p>
      <w:pPr>
        <w:spacing w:after="140"/>
      </w:pPr>
      <w:r>
        <w:rPr>
          <w:sz w:val="21"/>
          <w:szCs w:val="21"/>
        </w:rPr>
        <w:t xml:space="preserve">Nota metodológica: este es un prototipo independiente. Las métricas del benchmark sintético evalúan la coherencia del PoC y no estiman desempeño productivo. Las salidas sobre datos públicos son señales de priorización para revisión de auditor y no constituyen hallazgos ni determinaciones automáticas de irregularidad.</w:t>
      </w:r>
    </w:p>
    <w:p>
      <w:pPr>
        <w:pStyle w:val="Heading1"/>
        <w:spacing w:after="140" w:before="260"/>
      </w:pPr>
      <w:r>
        <w:t xml:space="preserve">Índice</w:t>
      </w:r>
    </w:p>
    <w:p>
      <w:pPr>
        <w:spacing w:after="140"/>
      </w:pPr>
      <w:r>
        <w:rPr>
          <w:sz w:val="21"/>
          <w:szCs w:val="21"/>
        </w:rPr>
        <w:t xml:space="preserve">1. Introducción — 2. Objetivo — 3. Productos alcanzados — 4. Actividades realizadas — 5. Grado de cumplimiento — 6. Dificultades y limitaciones — 7. Conclusiones y recomendaciones — 8. Anexos</w:t>
      </w:r>
    </w:p>
    <w:p>
      <w:pPr>
        <w:pStyle w:val="Heading1"/>
        <w:spacing w:after="140" w:before="260"/>
      </w:pPr>
      <w:r>
        <w:t xml:space="preserve">1. Introducción</w:t>
      </w:r>
    </w:p>
    <w:p>
      <w:pPr>
        <w:spacing w:after="140"/>
      </w:pPr>
      <w:r>
        <w:rPr>
          <w:sz w:val="21"/>
          <w:szCs w:val="21"/>
        </w:rPr>
        <w:t xml:space="preserve">Cubre selección, tuning y evaluación de detección de anomalías para compras repetitivas o potencialmente divididas.</w:t>
      </w:r>
    </w:p>
    <w:p>
      <w:pPr>
        <w:pStyle w:val="Heading1"/>
        <w:spacing w:after="140" w:before="260"/>
      </w:pPr>
      <w:r>
        <w:t xml:space="preserve">2. Objetivo</w:t>
      </w:r>
    </w:p>
    <w:p>
      <w:pPr>
        <w:spacing w:after="140"/>
      </w:pPr>
      <w:r>
        <w:rPr>
          <w:sz w:val="21"/>
          <w:szCs w:val="21"/>
        </w:rPr>
        <w:t xml:space="preserve">Desarrollar y validar una prueba de concepto de analítica de datos que priorice señales de posible favoritismo, posible fraccionamiento y vínculos proveedor-funcionario para apoyar la revisión del auditor.</w:t>
      </w:r>
    </w:p>
    <w:p>
      <w:pPr>
        <w:pStyle w:val="Heading1"/>
        <w:spacing w:after="140" w:before="260"/>
      </w:pPr>
      <w:r>
        <w:t xml:space="preserve">3. Productos Alcanzados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Dataset: 180 grupos y 8 positivos sintéticos.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Diseño: holdout final separado antes del tuning; validaciones repetidas solo en desarrollo.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Métrica primaria de tuning: AUC-PR media en validaciones repetidas.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Mejor configuración: 100 estimadores, max_samples 0.5, contamination auto.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Holdout final: AUC-ROC 0.856, AUC-PR 0.171, precision 17.6%, recall 100.0%, F1 0.300.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El modelo marcó 17 anomalías entre 68 registros de holdout, con 3 positivos.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La regla interpretable se conserva como señal complementaria de caja blanca, no como prueba jurídica automática.</w:t>
      </w:r>
    </w:p>
    <w:p>
      <w:pPr>
        <w:pStyle w:val="Heading1"/>
        <w:spacing w:after="140" w:before="260"/>
      </w:pPr>
      <w:r>
        <w:t xml:space="preserve">4. Actividades Realizadas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Separación del holdout final antes del tuning.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Validaciones repetidas solo sobre desarrollo y selección por AUC-PR.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Evaluación única sobre holdout final con AUC-ROC, AUC-PR, precision, recall, F1 y recall@K.</w:t>
      </w:r>
    </w:p>
    <w:p>
      <w:pPr>
        <w:pStyle w:val="Heading1"/>
        <w:spacing w:after="140" w:before="260"/>
      </w:pPr>
      <w:r>
        <w:t xml:space="preserve">5. Grado de Cumplimiento del Producto</w:t>
      </w:r>
    </w:p>
    <w:p>
      <w:pPr>
        <w:spacing w:after="140"/>
      </w:pPr>
      <w:r>
        <w:rPr>
          <w:sz w:val="21"/>
          <w:szCs w:val="21"/>
        </w:rPr>
        <w:t xml:space="preserve">Validación independiente implementada. El resultado no justifica afirmar que el detector esté listo para producción.</w:t>
      </w:r>
    </w:p>
    <w:p>
      <w:pPr>
        <w:pStyle w:val="Heading1"/>
        <w:spacing w:after="140" w:before="260"/>
      </w:pPr>
      <w:r>
        <w:t xml:space="preserve">6. Dificultades y Limitaciones Encontradas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Solo 8 positivos sintéticos; recall@K resulta especialmente inestable.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El alto recall con baja precision muestra que el detector genera bastantes falsos positivos en este benchmark.</w:t>
      </w:r>
    </w:p>
    <w:p>
      <w:pPr>
        <w:pStyle w:val="Heading1"/>
        <w:spacing w:after="140" w:before="260"/>
      </w:pPr>
      <w:r>
        <w:t xml:space="preserve">7. Conclusiones y Recomendaciones</w:t>
      </w:r>
    </w:p>
    <w:p>
      <w:pPr>
        <w:spacing w:after="140"/>
      </w:pPr>
      <w:r>
        <w:rPr>
          <w:sz w:val="21"/>
          <w:szCs w:val="21"/>
        </w:rPr>
        <w:t xml:space="preserve">La principal conclusión ya no es que una regla tenga “100% de precisión”, sino que el detector no supervisado necesita más ground truth y revisión humana. AUC-PR es la métrica más informativa en este escenario desbalanceado.</w:t>
      </w:r>
    </w:p>
    <w:p>
      <w:pPr>
        <w:pStyle w:val="Heading1"/>
        <w:spacing w:after="140" w:before="260"/>
      </w:pPr>
      <w:r>
        <w:t xml:space="preserve">8. Anexos</w:t>
      </w:r>
    </w:p>
    <w:p>
      <w:pPr>
        <w:spacing w:after="140"/>
      </w:pPr>
      <w:r>
        <w:rPr>
          <w:sz w:val="21"/>
          <w:szCs w:val="21"/>
        </w:rPr>
        <w:t xml:space="preserve">Código, datasets y evidencia machine-readable: ver repositorio indicado en la portada.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7"/>
        <w:szCs w:val="17"/>
      </w:rPr>
      <w:t xml:space="preserve">Página </w:t>
    </w:r>
    <w:r>
      <w:rPr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5"/>
        <w:szCs w:val="15"/>
      </w:rPr>
      <w:t xml:space="preserve">Selección y Desarrollo del Modelo — Fraccionamiento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2026-08-08T00:02:32.061Z</dcterms:created>
  <dcterms:modified xsi:type="dcterms:W3CDTF">2026-08-08T00:02:32.061Z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