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/ REPORTE TÉCNICO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Técnico Consolidado del Prototipo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795_110327313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independiente del Módulo de Análisis de Datos implementa un pipeline reproducible para preparación de datos, priorización de señales de posible favoritismo y fraccionamiento, análisis de vínculos, Spark MLlib, GraphFrames, Airflow, Lakehouse local, trazabilidad y generación automática de documentación. La ruta operacional incorpora separación TRAIN/INFERENCE, promoción explícita de champion y una frontera Spark-native para fuentes spark_sql, sin materialización pandas entre la tabla/vista y MLlib. Las salidas son señales para revisión humana y no constituyen hallazgos.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Prototipo independiente. Las métricas sintéticas evalúan el PoC y no estiman desempeño productivo. El análisis de pagos usa datos sintéticos y no representa SIAF real. Las salidas sobre datos públicos son señales de priorización para revisión y no constituyen hallazgos ni determinaciones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795_110327313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7_110327313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9_110327313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1_1103273133">
            <w:r>
              <w:rPr>
                <w:rStyle w:val="IndexLink"/>
              </w:rPr>
              <w:t>Lista de Abreviaturas y Acrónimos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3_110327313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5_1103273133">
            <w:r>
              <w:rPr>
                <w:rStyle w:val="IndexLink"/>
              </w:rPr>
              <w:t>1. Introducción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7_1103273133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9_110327313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1_1103273133">
            <w:r>
              <w:rPr>
                <w:rStyle w:val="IndexLink"/>
              </w:rPr>
              <w:t>3.1 Arquitectura, datos y trazabilidad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3_1103273133">
            <w:r>
              <w:rPr>
                <w:rStyle w:val="IndexLink"/>
              </w:rPr>
              <w:t>3.2 Preparación y benchmark sintético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5_1103273133">
            <w:r>
              <w:rPr>
                <w:rStyle w:val="IndexLink"/>
              </w:rPr>
              <w:t>3.3 Modelo de priorización de posible favoritismo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7_1103273133">
            <w:r>
              <w:rPr>
                <w:rStyle w:val="IndexLink"/>
              </w:rPr>
              <w:t>3.4 Modelo de priorización de posible fraccionamiento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9_1103273133">
            <w:r>
              <w:rPr>
                <w:rStyle w:val="IndexLink"/>
              </w:rPr>
              <w:t>3.5 Implementación Spark MLlib y GraphFrames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1_1103273133">
            <w:r>
              <w:rPr>
                <w:rStyle w:val="IndexLink"/>
              </w:rPr>
              <w:t>3.6 Validación de integridad con datos públicos OCDS/OECE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3_1103273133">
            <w:r>
              <w:rPr>
                <w:rStyle w:val="IndexLink"/>
              </w:rPr>
              <w:t>3.7 Autoevaluación, mantenimiento y gobernanza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5_1103273133">
            <w:r>
              <w:rPr>
                <w:rStyle w:val="IndexLink"/>
              </w:rPr>
              <w:t>3.8 Reporting, documentación y reproducibilidad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7_1103273133">
            <w:r>
              <w:rPr>
                <w:rStyle w:val="IndexLink"/>
              </w:rPr>
              <w:t>3.9 Matriz de cierre frente al TDR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29_1103273133">
            <w:r>
              <w:rPr>
                <w:rStyle w:val="IndexLink"/>
              </w:rPr>
              <w:t>4. Conclusiones y Recomendaciones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1_1103273133">
            <w:r>
              <w:rPr>
                <w:rStyle w:val="IndexLink"/>
              </w:rPr>
              <w:t>5. Anexos</w:t>
              <w:tab/>
              <w:t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3_1103273133">
            <w:r>
              <w:rPr>
                <w:rStyle w:val="IndexLink"/>
              </w:rPr>
              <w:t>ANEXO TÉCNICO — PAGOS, MODALIDADES Y ARQUITECTURA OPERACIONAL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5_1103273133">
            <w:r>
              <w:rPr>
                <w:rStyle w:val="IndexLink"/>
              </w:rPr>
              <w:t>Resultados reproducibles de pagos y modalidades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7_1103273133">
            <w:r>
              <w:rPr>
                <w:rStyle w:val="IndexLink"/>
              </w:rPr>
              <w:t>Distribución de pagos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9_1103273133">
            <w:r>
              <w:rPr>
                <w:rStyle w:val="IndexLink"/>
              </w:rPr>
              <w:t>Modalidades por régimen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1_1103273133">
            <w:r>
              <w:rPr>
                <w:rStyle w:val="IndexLink"/>
              </w:rPr>
              <w:t>Arquitectura operacional Spark-native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3_1103273133">
            <w:r>
              <w:rPr>
                <w:rStyle w:val="IndexLink"/>
              </w:rPr>
              <w:t>Limitación institucional</w:t>
              <w:tab/>
              <w:t>12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45_1103273133">
            <w:r>
              <w:rPr>
                <w:rStyle w:val="IndexLink"/>
              </w:rPr>
              <w:t>Referencias Bibliográficas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797_110327313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Estado de componentes del prototipo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del benchmark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Comparación de modelos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Métricas holdout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5. Validación de integridad OCDS/OECE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6. Evidencia Spark y GraphFrames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7. Matriz de cierre: PoC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799_110327313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Detección de señales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801_110327313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803_110327313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805_110327313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Informe Final consolida únicamente evidencia que puede reproducirse desde el repositorio público. Mantiene separados el benchmark sintético/histórico, destinado a validar metodología y reproducibilidad, y la ruta operacional preparada para TRAIN/INFERENCE sobre fuentes canónicas. Ninguna métrica sintética se interpreta como ground truth productivo.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no atribuye al PoC capacidades que dependan de infraestructura o aprobación institucional. Fuentes internas, clúster/catálogo Spark institucional, ambientes DEV/QA/PROD, SQL Server/SSRS institucional, certificación funcional, marcha blanca y transferencia efectiva permanecen como dependencias CGR.</w:t>
      </w:r>
    </w:p>
    <w:p>
      <w:pPr>
        <w:pStyle w:val="Heading1"/>
        <w:spacing w:lineRule="exact" w:line="240" w:before="240" w:after="120"/>
        <w:rPr/>
      </w:pPr>
      <w:bookmarkStart w:id="6" w:name="__RefHeading___Toc807_110327313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establece como objetivo disponer datos procesados y filtrados de fuentes externas e internas y desarrollar modelos de Machine Learning para identificar casos atípicos y patrones de riesgo relevantes para la labor del auditor. Este informe documenta el grado en que dicho objetivo puede demostrarse mediante un prototipo independiente y reproducible.</w:t>
      </w:r>
    </w:p>
    <w:p>
      <w:pPr>
        <w:pStyle w:val="Heading1"/>
        <w:spacing w:lineRule="exact" w:line="240" w:before="240" w:after="120"/>
        <w:rPr/>
      </w:pPr>
      <w:bookmarkStart w:id="7" w:name="__RefHeading___Toc809_110327313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811_110327313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Arquitectura, datos y trazabilidad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mantiene una ruta histórica Bronce -&gt; Plata -&gt; benchmark -&gt; Oro para reproducibilidad y una ruta operacional fuente canónica -&gt; TRAIN/INFERENCE -&gt; champion Spark -&gt; scores. El contrato canónico desacopla nombres físicos de tablas/columnas y registra linaje, hashes y versión de modelos.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Estado de componentes del prototipo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Bronce/Plata/Oro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Simulación local reproducible; Oro contiene salidas downstream del PoC.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Airflow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DAGs separados para reproducibilidad, TRAIN, INFERENCE y monitoreo.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pytest + smoke end-to-end + generación/validación documental.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 MLlib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histórico ejecutado en local[*]; TRAIN/INFERENCE operacionales admiten master configurable y spark_sql Spark-native.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spark_sql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 DataFrame desde tabla/vista hasta MLlib; mapping/validación/FIT en Spark y rankings Parquet distribuidos, sin toPandas.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Ejecución real sobre datos de contacto sintéticos publicados en Plata.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Linaje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outputs/linaje_datos.csv: fuente -&gt; transformación -&gt; feature -&gt; implementación -&gt; salida.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MLOps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Registry, hashes, candidate/champion y promoción explícita; sin autopromoción en TRAIN.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813_110327313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Preparación y benchmark sintético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Resumen del benchmark sintético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800"/>
        <w:gridCol w:w="3999"/>
      </w:tblGrid>
      <w:tr>
        <w:trPr>
          <w:tblHeader w:val="true"/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4,296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263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algún nulo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259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894,438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2,362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 de favoritismo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proveedor-entidad-objeto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265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 de fraccionamiento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generador incorpora hard negatives y una categoría contractual estructurada goods/services/works para reducir separación trivial y ambigüedad normativa.</w:t>
      </w:r>
    </w:p>
    <w:p>
      <w:pPr>
        <w:pStyle w:val="Heading2"/>
        <w:spacing w:lineRule="exact" w:line="240" w:before="180" w:after="80"/>
        <w:rPr/>
      </w:pPr>
      <w:bookmarkStart w:id="10" w:name="__RefHeading___Toc815_110327313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 de priorización de posible favoritismo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3 algoritmos con undefined. La métrica primaria es AUC-PR por desbalance.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Comparación de modelos de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conserva el mayor AUC-PR. El tuning selecciona n_estimators=100, max_depth=4 y min_samples_leaf=1, con AUC-PR CV 1.000.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Contratación Directa y Comparación de Precios permanecen como features separadas. SHAP aporta explicación global e individual sin convertir el score en una determinación de responsabilidad.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817_110327313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Modelo de priorización de posible fraccionamiento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holdout final separado antes del tuning; ranking y umbral calibrados solo en desarrollo. La selección se realiza por AUC-PR media para ranking; F1 medio para contamination/umbral binario; el holdout final no participa en tuning.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4. Métricas holdout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80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Anomalías predichas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diferencia entre AUC-ROC y AUC-PR confirma que el detector separa parcialmente extremos, pero su desempeño sobre la clase positiva es débil. La regla interpretable de ventana temporal y cuantía se conserva únicamente como señal complementaria de caja blanca.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Detección de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819_110327313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Implementación Spark MLlib y GraphFrames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5. Evidencia Spark y GraphFrames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 reproducible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 Spark benchmark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RandomForestClassifier; 3-fold estratificado con orden xxhash64 determinístico; modo histórico local[*]; AUC-PR CV sanity 1.000.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 Spark benchmark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+ distancia al centroide; k=3; modo histórico local[*].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Serving operacional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TRAIN/INFERENCE MLlib con master configurable; spark_sql mantiene DataFrame Spark, medianas distribuidas y salida Parquet sin toPandas.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280 vértices, 3130 aristas y 5 señales sintéticas.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PySpark 4.1.1; GraphFrames 0.10.0; Java 17 en CI.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métricas Spark del benchmark sintético no se utilizan como estimación productiva. La evidencia demuestra ejecución MLlib y el contrato distribuido; rendimiento, robustez y aceptación sobre el clúster/datos CGR requieren pruebas institucionales.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4.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3" w:name="__RefHeading___Toc821_110327313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Validación de integridad con datos públicos OCDS/OECE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relación analítica se reconstruyó como Contract(main_ocid, awardID) -&gt; Award(main_ocid, id) -&gt; awards_suppliers(main_ocid, awards_id). El supplier se resuelve mediante el award relacionado con cada contrato y la clave analítica es OCID::contract.id.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6. Validación de integridad OCDS/OECE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199"/>
        <w:gridCol w:w="3600"/>
      </w:tblGrid>
      <w:tr>
        <w:trPr>
          <w:tblHeader w:val="true"/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crudos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47,510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analíticos válidos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47,254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Excluidos sin award/supplier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Adjudicatarios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25,861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Consorcios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7,486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Entidades distintas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2,732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total procesado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23,082,420,702.60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Rango de fechas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2018-09-18 a 2024-11-08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priorizados por señal de fraccionamiento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322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conteo antiguo de 47,442 fue descartado; el conteo corregido es 47,254. Los rankings reales identificables no se publican en el repositorio.</w:t>
      </w:r>
    </w:p>
    <w:p>
      <w:pPr>
        <w:pStyle w:val="Heading2"/>
        <w:spacing w:lineRule="exact" w:line="240" w:before="180" w:after="80"/>
        <w:rPr/>
      </w:pPr>
      <w:bookmarkStart w:id="14" w:name="__RefHeading___Toc823_110327313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Autoevaluación, mantenimiento y gobernanza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Monitoreo de calidad y drift mediante controles de esquema y PSI.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de desempeño solo cuando exista ground truth nuevo y validado.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Reentrenamiento genera un modelo candidato y lo evalúa en holdout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Promoción automática deshabilitada; se requiere revisión y aprobación humana.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Normativa parametrizada por fecha/categoría con pruebas de regresión.</w:t>
      </w:r>
    </w:p>
    <w:p>
      <w:pPr>
        <w:pStyle w:val="Heading2"/>
        <w:spacing w:lineRule="exact" w:line="240" w:before="180" w:after="80"/>
        <w:rPr/>
      </w:pPr>
      <w:bookmarkStart w:id="15" w:name="__RefHeading___Toc825_110327313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3.8 Reporting, documentación y reproducibilidad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Esquema T-SQL y RDL de SSRS disponibles como artefactos de despliegue; servidor institucional no ejecutado.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y diagrama del modelo de datos regenerados automáticamente.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run_manifest.json registra commit, versiones, hashes, parámetros, métricas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outputs/linaje_datos.csv proporciona linaje explícito de fuente a salida Oro.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Productos 1-7 y este Informe Final se generan desde evidencia_documental.json.</w:t>
      </w:r>
    </w:p>
    <w:p>
      <w:pPr>
        <w:pStyle w:val="Heading2"/>
        <w:spacing w:lineRule="exact" w:line="240" w:before="180" w:after="80"/>
        <w:rPr/>
      </w:pPr>
      <w:bookmarkStart w:id="16" w:name="__RefHeading___Toc827_1103273133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3.9 Matriz de cierre frente al TDR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7. Matriz de cierre: PoC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limpieza y feature engineering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reproducible.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 supervisado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OOF/tuning/SHAP + Spark MLlib ejecutado.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 no supervisado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Isolation Forest con holdout + KMeans Spark + señal interpretable.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Spark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Spark-native sin pandas intermedio; prueba de carga en clúster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NetworkX + GraphFrames ejecutado con escenario sintético.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Airflow/Lakehouse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Orquestación/contrato implementados; infraestructura institucional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Autoevaluación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 + gate humano; gobierno productivo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T-SQL + RDL preparados; servidor SQL/SSRS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DEV/QA/PROD y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Marcha blanca y transferencia efectiva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contractual/institucional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real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Requiere etiquetado y validación por auditores.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7" w:name="__RefHeading___Toc829_1103273133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demuestra viabilidad técnica y reproducibilidad sin ocultar sus límites. Random Forest es el candidato principal del benchmark de favoritismo por AUC-PR e interpretabilidad. En fraccionamiento, la baja AUC-PR del holdout impide presentar el detector como clasificador de irregularidades y refuerza la necesidad de revisión humana.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distingue el benchmark histórico local de la ruta operacional: TRAIN/INFERENCE admiten master Spark configurable y, con spark_sql, mantienen el procesamiento distribuido sin toPandas hasta la escritura Parquet. Lo pendiente es validar esta arquitectura con volumen, seguridad, rendimiento y robustez sobre infraestructura CGR.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Para una fase institucional se recomienda: obtener ground truth real; validar reglas con auditores/especialistas normativos; desplegar primero en DEV/QA; probar particionamiento y tiempos con datos internos; calibrar capacidad de revisión; habilitar controles de acceso/linaje;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8" w:name="__RefHeading___Toc831_1103273133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Commit utilizado por la evidencia: 41291beaafd3cf1527a9bbeb9e976315c2fe7689.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outputs/evidencia_documental.json - fuente única de cifras documentales.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outputs/run_manifest.json - entorno, hashes, parámetros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outputs/linaje_datos.csv - linaje de campos y features.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data/diccionario_datos.csv - diccionario de 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outputs/validacion_p0_datos_reales.json - integridad y conteos OCDS/OECE.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outputs/spark_favoritismo_resumen.json y outputs/spark_fraccionamiento_resumen.json - benchmark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tests/test_spark_native_integration.py - regresión de integración Spark-native.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outputs/graphframes_resumen.json - evidencia GraphFrames.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Directorio ssrs/ - artefactos T-SQL y RDL del PoC.</w:t>
      </w:r>
    </w:p>
    <w:p>
      <w:pPr>
        <w:pStyle w:val="Heading1"/>
        <w:spacing w:lineRule="auto" w:line="240" w:before="0" w:after="60"/>
        <w:rPr/>
      </w:pPr>
      <w:bookmarkStart w:id="19" w:name="__RefHeading___Toc833_1103273133"/>
      <w:bookmarkEnd w:id="1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0" w:name="__RefHeading___Toc835_1103273133"/>
      <w:bookmarkEnd w:id="2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1" w:name="__RefHeading___Toc837_1103273133"/>
      <w:bookmarkEnd w:id="2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5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839_1103273133"/>
      <w:bookmarkEnd w:id="2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6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841_1103273133"/>
      <w:bookmarkEnd w:id="2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4" w:name="__RefHeading___Toc843_1103273133"/>
      <w:bookmarkEnd w:id="2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5" w:name="__RefHeading___Toc845_1103273133"/>
      <w:bookmarkEnd w:id="2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1"/>
      <w:footerReference w:type="default" r:id="rId12"/>
      <w:footerReference w:type="first" r:id="rId13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Técnico Consolidado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eader" Target="header1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11</Pages>
  <Words>2239</Words>
  <Characters>14763</Characters>
  <CharactersWithSpaces>16650</CharactersWithSpaces>
  <Paragraphs>333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2026-08-11T17:04:11Z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2026-08-11T17:04:14Z</dcterms:modified>
  <cp:revision>2</cp:revision>
  <dc:subject/>
  <dc:title>Informe Final Técnico Consolidado - Prototipo independiente CGR 1.8.2</dc:title>
</cp:coreProperties>
</file>