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7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Informe Final - Entrenamiento, Validación y Cierre Técnico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4150_1103273133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cierre técnico del PoC integra validación de favoritismo y fraccionamiento, ejecución Spark MLlib, GraphFrames, Airflow, capas Bronce/Plata/Oro, trazabilidad y documentación automática. La reconstrucción OCDS vigente contiene 47,254 contratos analíticos válidos a partir de 47,510 contratos crudos. Las actividades que exigen ambientes CGR, certificación funcional, marcha blanca y transferencia efectiva se identifican expresamente como dependencias institucionales.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4150_1103273133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52_1103273133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54_1103273133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56_1103273133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58_1103273133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60_1103273133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62_1103273133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64_1103273133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66_1103273133">
            <w:r>
              <w:rPr>
                <w:rStyle w:val="IndexLink"/>
              </w:rPr>
              <w:t>3.1 Entrenamiento y validación del modelo de fraccionamiento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68_1103273133">
            <w:r>
              <w:rPr>
                <w:rStyle w:val="IndexLink"/>
              </w:rPr>
              <w:t>3.2 Documentación técnica y manual de implementación/despliegue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70_1103273133">
            <w:r>
              <w:rPr>
                <w:rStyle w:val="IndexLink"/>
              </w:rPr>
              <w:t>3.3 Pruebas de integración y validación del pipeline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72_1103273133">
            <w:r>
              <w:rPr>
                <w:rStyle w:val="IndexLink"/>
              </w:rPr>
              <w:t>3.4 Plan de monitoreo y mantenimiento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74_1103273133">
            <w:r>
              <w:rPr>
                <w:rStyle w:val="IndexLink"/>
              </w:rPr>
              <w:t>3.5 Transferencia de conocimiento y mejoras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76_1103273133">
            <w:r>
              <w:rPr>
                <w:rStyle w:val="IndexLink"/>
              </w:rPr>
              <w:t>4.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78_1103273133">
            <w:r>
              <w:rPr>
                <w:rStyle w:val="IndexLink"/>
              </w:rPr>
              <w:t>5.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80_1103273133">
            <w:r>
              <w:rPr>
                <w:rStyle w:val="IndexLink"/>
              </w:rPr>
              <w:t>ANEXO TÉCNICO — PAGOS, MODALIDADES Y ARQUITECTURA OPERACIONAL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82_1103273133">
            <w:r>
              <w:rPr>
                <w:rStyle w:val="IndexLink"/>
              </w:rPr>
              <w:t>Resultados reproducibles de pagos y modalidades</w:t>
              <w:tab/>
              <w:t>6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84_1103273133">
            <w:r>
              <w:rPr>
                <w:rStyle w:val="IndexLink"/>
              </w:rPr>
              <w:t>Distribución de pagos</w:t>
              <w:tab/>
              <w:t>7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86_1103273133">
            <w:r>
              <w:rPr>
                <w:rStyle w:val="IndexLink"/>
              </w:rPr>
              <w:t>Modalidades por régimen</w:t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88_1103273133">
            <w:r>
              <w:rPr>
                <w:rStyle w:val="IndexLink"/>
              </w:rPr>
              <w:t>Arquitectura operacional Spark-native</w:t>
              <w:tab/>
              <w:t>8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4190_1103273133">
            <w:r>
              <w:rPr>
                <w:rStyle w:val="IndexLink"/>
              </w:rPr>
              <w:t>Limitación institucional</w:t>
              <w:tab/>
              <w:t>8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4192_1103273133">
            <w:r>
              <w:rPr>
                <w:rStyle w:val="IndexLink"/>
              </w:rPr>
              <w:t>Referencias Bibliográficas</w:t>
              <w:tab/>
              <w:t>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4152_1103273133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Métricas finales del benchmark de fraccionamiento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Estado de los componentes de cierre del Séptimo Producto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Plan de monitoreo y mantenimiento</w:t>
      </w:r>
    </w:p>
    <w:p>
      <w:pPr>
        <w:pStyle w:val="Heading1"/>
        <w:spacing w:lineRule="exact" w:line="240" w:before="240" w:after="120"/>
        <w:rPr/>
      </w:pPr>
      <w:bookmarkStart w:id="2" w:name="__RefHeading___Toc4154_1103273133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Red proveedor-funcionario del escenario sintético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DAG principal de orquestación del PoC</w:t>
      </w:r>
    </w:p>
    <w:p>
      <w:pPr>
        <w:pStyle w:val="Heading1"/>
        <w:spacing w:lineRule="exact" w:line="240" w:before="240" w:after="120"/>
        <w:rPr/>
      </w:pPr>
      <w:bookmarkStart w:id="3" w:name="__RefHeading___Toc4156_1103273133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4158_1103273133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4160_1103273133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Séptimo Producto consolida entrenamiento y validación del caso de fraccionamiento y los documentos técnicos de cierre: implementación/despliegue, integración, pipeline, monitoreo, repositorio y transferencia. El presente documento mantiene separados los componentes ejecutables del PoC y aquellos que solo pueden completarse dentro de CGR.</w:t>
      </w:r>
    </w:p>
    <w:p>
      <w:pPr>
        <w:pStyle w:val="Heading1"/>
        <w:spacing w:lineRule="exact" w:line="240" w:before="240" w:after="120"/>
        <w:rPr/>
      </w:pPr>
      <w:bookmarkStart w:id="6" w:name="__RefHeading___Toc4162_1103273133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4164_1103273133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4166_1103273133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Entrenamiento y validación del modelo de fraccionamiento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Métricas finales del benchmark de fraccionamiento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0.659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0.133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Precision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0.000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configuración seleccionada es n_estimators=100, max_samples=0.8, contamination=0.05. El modelo se persiste junto con su scaler en outputs/models/.</w:t>
      </w:r>
    </w:p>
    <w:p>
      <w:pPr>
        <w:pStyle w:val="Heading2"/>
        <w:spacing w:lineRule="exact" w:line="240" w:before="180" w:after="80"/>
        <w:rPr/>
      </w:pPr>
      <w:bookmarkStart w:id="9" w:name="__RefHeading___Toc4168_1103273133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Documentación técnica y manual de implementación/despliegue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Entorno Python reproducible mediante requirements.txt; Spark usa Java 17 y PySpark fijado por versión.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Ejecución de regresión: pytest -q.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Pipeline local: generación -&gt; Bronce -&gt; preprocesamiento -&gt; Plata -&gt; modelos sklearn/Spark/GraphFrames -&gt; Oro -&gt; manifiesto -&gt; documentación.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Airflow usa CGR_PROJECT_PYTHON para separar el runtime del proyecto del entorno propio de Airflow.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Los modelos candidatos no se promocionan automáticamente; la promoción requiere revisión humana.</w:t>
      </w:r>
    </w:p>
    <w:p>
      <w:pPr>
        <w:pStyle w:val="Heading2"/>
        <w:spacing w:lineRule="exact" w:line="240" w:before="180" w:after="80"/>
        <w:rPr/>
      </w:pPr>
      <w:bookmarkStart w:id="10" w:name="__RefHeading___Toc4170_1103273133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Pruebas de integración y validación del pipeline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Estado de los componentes de cierre del Séptimo Producto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600"/>
        <w:gridCol w:w="5199"/>
      </w:tblGrid>
      <w:tr>
        <w:trPr>
          <w:tblHeader w:val="true"/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Componente solicitado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Estado verificable del PoC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Registro de pruebas de integración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GitHub Actions ejecuta pytest y smoke end-to-end en cada push/PR.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del pipeline completo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Ejecutado desde Bronce/Plata hasta Spark, Oro, linaje, manifiesto y DOCX.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Documentación para certificación/producción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Generada como PoC; certificación institucional pendiente.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Incidencias en certificación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 aplicable fuera de ambientes CGR; no se inventan incidencias.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Transferencia a usuarios técnicos/funcionales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Material y estructura disponibles; sesión efectiva pendiente de usuarios CGR.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Repositorio organizado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Código, datasets sintéticos, evidencias, reportes y CI versionados en GitHub.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Mejoras de marcha blanca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 existe marcha blanca institucional; se documentan mejoras derivadas de auditorías técnicas del PoC.</w:t>
            </w:r>
          </w:p>
        </w:tc>
      </w:tr>
    </w:tbl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Red proveedor-funcionario del escenario sintético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400050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DAG principal de orquestación del PoC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28575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1" w:name="__RefHeading___Toc4172_1103273133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Plan de monitoreo y mantenimiento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Plan de monitoreo y mantenimiento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800"/>
        <w:gridCol w:w="5999"/>
      </w:tblGrid>
      <w:tr>
        <w:trPr>
          <w:tblHeader w:val="true"/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Control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Acción propuesta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Calidad de datos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Validar esquema, nulos, rangos y conteos antes del scoring.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Drift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Calcular PSI sobre features clave y revisar cambios materiales.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Desempeño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Medir AUC-PR/recall cuando exista ground truth nuevo y validado.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Reentrenamiento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Generar modelo candidato; evaluar en holdout independiente; no promover automáticamente.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Trazabilidad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Registrar commit, versiones, hashes, parámetros y artefactos en run_manifest.json.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Normativa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Versionar cuantías y vigencias; ejecutar pruebas unitarias ante cada cambio.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2" w:name="__RefHeading___Toc4174_1103273133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Transferencia de conocimiento y mejoras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documentación, README, diccionario, linaje, manifiesto, código comentado y productos formales constituyen material base para transferencia. La realización y acta de sesiones con usuarios técnicos/funcionales requiere coordinación y participantes CGR.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corrección de integridad OCDS Contract -&gt; Award -&gt; Supplier.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separación de Contratación Directa y Comparación de Precios.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holdout independiente para fraccionamiento y eliminación de leakage de tuning.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Spark MLlib y GraphFrames incorporados al pipeline canónico y al CI.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documentación regenerada automáticamente desde evidencia versionada.</w:t>
      </w:r>
    </w:p>
    <w:p>
      <w:pPr>
        <w:pStyle w:val="Heading1"/>
        <w:spacing w:lineRule="exact" w:line="240" w:before="240" w:after="120"/>
        <w:rPr/>
      </w:pPr>
      <w:bookmarkStart w:id="13" w:name="__RefHeading___Toc4176_1103273133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PoC queda técnicamente reproducible y con las principales brechas de integridad, modelado, Spark y trazabilidad cerradas. Random Forest es el candidato principal del benchmark de favoritismo; en fraccionamiento la baja AUC-PR del holdout obliga a mantener una interpretación prudente y revisión humana. Como siguiente paso institucional se recomienda validar ground truth con auditores, desplegar en DEV/QA, medir rendimiento distribuido y ejecutar certificación, marcha blanca y transferencia formal.</w:t>
      </w:r>
    </w:p>
    <w:p>
      <w:pPr>
        <w:pStyle w:val="Heading1"/>
        <w:spacing w:lineRule="exact" w:line="240" w:before="240" w:after="120"/>
        <w:rPr/>
      </w:pPr>
      <w:bookmarkStart w:id="14" w:name="__RefHeading___Toc4178_1103273133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GraphFrames ejecutado: 280 vértices y 3130 aristas en escenario sintético.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Diccionario de datos: data/diccionario_datos.csv.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Diagrama del modelo: outputs/charts/09_diagrama_modelo_datos.png.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Artefactos SSRS PoC: directorio ssrs/.</w:t>
      </w:r>
    </w:p>
    <w:p>
      <w:pPr>
        <w:pStyle w:val="Heading1"/>
        <w:spacing w:lineRule="auto" w:line="240" w:before="0" w:after="60"/>
        <w:rPr/>
      </w:pPr>
      <w:bookmarkStart w:id="15" w:name="__RefHeading___Toc4180_1103273133"/>
      <w:bookmarkEnd w:id="15"/>
      <w:r>
        <w:rPr>
          <w:rFonts w:ascii="Arial" w:hAnsi="Arial"/>
          <w:b/>
          <w:sz w:val="22"/>
        </w:rPr>
        <w:t>ANEXO TÉCNICO — PAGOS, MODALIDADES Y ARQUITECTURA OPERACIONAL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Este anexo cubre el análisis estadístico/exploratorio de pagos, montos contractuales y modalidades y actualiza la descripción de la arquitectura operacional. La evidencia de pagos usa datos sintéticos vinculados a contratos sintéticos; no representa información SIAF real ni determina la legalidad de una modalidad.</w:t>
      </w:r>
    </w:p>
    <w:p>
      <w:pPr>
        <w:pStyle w:val="Heading2"/>
        <w:spacing w:lineRule="auto" w:line="240" w:before="0" w:after="60"/>
        <w:rPr/>
      </w:pPr>
      <w:bookmarkStart w:id="16" w:name="__RefHeading___Toc4182_1103273133"/>
      <w:bookmarkEnd w:id="16"/>
      <w:r>
        <w:rPr>
          <w:rFonts w:ascii="Arial" w:hAnsi="Arial"/>
          <w:b/>
          <w:sz w:val="22"/>
        </w:rPr>
        <w:t>Resultados reproducibles de pagos y modalidades</w:t>
      </w:r>
    </w:p>
    <w:tbl>
      <w:tblPr>
        <w:tblW w:w="9026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513"/>
        <w:gridCol w:w="4512"/>
      </w:tblGrid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Indicador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  <w:shd w:fill="E7E6E6"/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b/>
                <w:sz w:val="22"/>
              </w:rPr>
              <w:t>Resultado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sintéticos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7790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analizados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4296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Pagos huérfanos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con pago parcial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515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Contratos pendientes sin pago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261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Señales de sobrepago a revisar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93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Demora P90 devengado→pagado (días)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28.0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especiales no inferibles solo por cuantía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1601</w:t>
            </w:r>
          </w:p>
        </w:tc>
      </w:tr>
      <w:tr>
        <w:trPr/>
        <w:tc>
          <w:tcPr>
            <w:tcW w:w="4513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Modalidades que requieren revisión de contexto</w:t>
            </w:r>
          </w:p>
        </w:tc>
        <w:tc>
          <w:tcPr>
            <w:tcW w:w="4512" w:type="dxa"/>
            <w:tcBorders>
              <w:top w:val="single" w:sz="4" w:space="0" w:color="B7B7B7"/>
              <w:left w:val="single" w:sz="4" w:space="0" w:color="B7B7B7"/>
              <w:bottom w:val="single" w:sz="4" w:space="0" w:color="B7B7B7"/>
              <w:right w:val="single" w:sz="4" w:space="0" w:color="B7B7B7"/>
            </w:tcBorders>
          </w:tcPr>
          <w:p>
            <w:pPr>
              <w:pStyle w:val="Normal"/>
              <w:spacing w:lineRule="auto" w:line="240" w:before="0" w:after="60"/>
              <w:rPr/>
            </w:pPr>
            <w:r>
              <w:rPr>
                <w:sz w:val="22"/>
              </w:rPr>
              <w:t>1565</w:t>
            </w:r>
          </w:p>
        </w:tc>
      </w:tr>
    </w:tbl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comparación de modalidades frente a cuantía es únicamente referencial. Contratación Directa, Comparación de Precios, Subasta Inversa, acuerdos marco y otros supuestos pueden depender de condiciones que no se deducen del monto por sí solo; 'requiere revisión de contexto' no equivale a irregularidad.</w:t>
      </w:r>
    </w:p>
    <w:p>
      <w:pPr>
        <w:pStyle w:val="Heading2"/>
        <w:spacing w:lineRule="auto" w:line="240" w:before="0" w:after="60"/>
        <w:rPr/>
      </w:pPr>
      <w:bookmarkStart w:id="17" w:name="__RefHeading___Toc4184_1103273133"/>
      <w:bookmarkEnd w:id="17"/>
      <w:r>
        <w:rPr>
          <w:rFonts w:ascii="Arial" w:hAnsi="Arial"/>
          <w:b/>
          <w:sz w:val="22"/>
        </w:rPr>
        <w:t>Distribución de pagos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150235"/>
            <wp:effectExtent l="0" t="0" r="0" b="0"/>
            <wp:docPr id="3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150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8" w:name="__RefHeading___Toc4186_1103273133"/>
      <w:bookmarkEnd w:id="18"/>
      <w:r>
        <w:rPr>
          <w:rFonts w:ascii="Arial" w:hAnsi="Arial"/>
          <w:b/>
          <w:sz w:val="22"/>
        </w:rPr>
        <w:t>Modalidades por régimen</w:t>
      </w:r>
    </w:p>
    <w:p>
      <w:pPr>
        <w:pStyle w:val="Normal"/>
        <w:spacing w:lineRule="auto" w:line="240" w:before="0" w:after="60"/>
        <w:jc w:val="center"/>
        <w:rPr/>
      </w:pPr>
      <w:r>
        <w:rPr/>
        <w:drawing>
          <wp:inline distT="0" distB="0" distL="0" distR="0">
            <wp:extent cx="5577840" cy="3222625"/>
            <wp:effectExtent l="0" t="0" r="0" b="0"/>
            <wp:docPr id="4" name="Picture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3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7784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lineRule="auto" w:line="240" w:before="0" w:after="60"/>
        <w:rPr/>
      </w:pPr>
      <w:bookmarkStart w:id="19" w:name="__RefHeading___Toc4188_1103273133"/>
      <w:bookmarkEnd w:id="19"/>
      <w:r>
        <w:rPr>
          <w:rFonts w:ascii="Arial" w:hAnsi="Arial"/>
          <w:b/>
          <w:sz w:val="22"/>
        </w:rPr>
        <w:t>Arquitectura operacional Spark-native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La evidencia histórica de modelado Spark se conserva en modo local[*] para reproducibilidad. En paralelo, la ruta operacional TRAIN/INFERENCE admite un master Spark configurable. Cuando source.type=spark_sql, el conector devuelve un Spark DataFrame y el mapping, validación, preprocesamiento, feature engineering y MLlib permanecen en Spark sin toPandas(). Las medianas por objeto aprendidas en TRAIN se persisten como Parquet distribuido y los rankings de INFERENCE se escriben también como Parquet distribuido.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Esta capacidad elimina el cuello de botella pandas del adaptador Spark anterior, pero no sustituye las pruebas de carga, particionamiento, seguridad, rendimiento y robustez que deben ejecutarse con el clúster y volumen institucionales reales.</w:t>
      </w:r>
    </w:p>
    <w:p>
      <w:pPr>
        <w:pStyle w:val="Heading2"/>
        <w:spacing w:lineRule="auto" w:line="240" w:before="0" w:after="60"/>
        <w:rPr/>
      </w:pPr>
      <w:bookmarkStart w:id="20" w:name="__RefHeading___Toc4190_1103273133"/>
      <w:bookmarkEnd w:id="20"/>
      <w:r>
        <w:rPr>
          <w:rFonts w:ascii="Arial" w:hAnsi="Arial"/>
          <w:b/>
          <w:sz w:val="22"/>
        </w:rPr>
        <w:t>Limitación institucional</w:t>
      </w:r>
    </w:p>
    <w:p>
      <w:pPr>
        <w:pStyle w:val="Normal"/>
        <w:spacing w:lineRule="auto" w:line="240" w:before="0" w:after="60"/>
        <w:jc w:val="both"/>
        <w:rPr/>
      </w:pPr>
      <w:r>
        <w:rPr>
          <w:sz w:val="22"/>
        </w:rPr>
        <w:t>El cierre literal con pagos SIAF/SEACE, tablas/vistas reales, ground truth, permisos, clúster, DEV/QA/PROD, SQL Server/SSRS, certificación y conformidad depende de la CGR y permanece registrado en el catálogo de dependencias institucionales.</w:t>
      </w:r>
    </w:p>
    <w:p>
      <w:pPr>
        <w:pStyle w:val="Heading1"/>
        <w:spacing w:lineRule="exact" w:line="240" w:before="240" w:after="120"/>
        <w:rPr/>
      </w:pPr>
      <w:bookmarkStart w:id="21" w:name="__RefHeading___Toc4192_1103273133"/>
      <w:bookmarkEnd w:id="2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9"/>
      <w:footerReference w:type="default" r:id="rId10"/>
      <w:footerReference w:type="first" r:id="rId11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8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Informe Final - Entrenamiento, Validación y Cierre Técnico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header" Target="header1.xml"/><Relationship Id="rId10" Type="http://schemas.openxmlformats.org/officeDocument/2006/relationships/footer" Target="footer4.xml"/><Relationship Id="rId11" Type="http://schemas.openxmlformats.org/officeDocument/2006/relationships/footer" Target="footer5.xm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2026-08-11T17:04:11Z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2026-08-11T17:04:17Z</dcterms:modified>
  <cp:revision>2</cp:revision>
  <dc:subject/>
  <dc:title>Informe Final - Entrenamiento, Validación y Cierre Técnico - Prototipo independiente CGR 1.8.2</dc:title>
</cp:coreProperties>
</file>