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4075509268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4075509268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4075509268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4075509268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4075509268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4075509268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4075509268">
            <w:r>
              <w:rPr>
                <w:rStyle w:val="IndexLink"/>
              </w:rPr>
              <w:t>3.6 Dependencias institucionales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4075509268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4075509268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4075509268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4075509268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4075509268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4075509268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4075509268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4075509268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4075509268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0" w:after="60"/>
        <w:rPr/>
      </w:pPr>
      <w:bookmarkStart w:id="16" w:name="__RefHeading___Toc4133_4075509268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4135_4075509268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4137_4075509268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39_4075509268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4141_4075509268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4143_4075509268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4075509268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2026-08-12T00:26:32Z</dcterms:modified>
  <cp:revision>2</cp:revision>
  <dc:subject/>
  <dc:title>Informe Final - Prototipo independiente CGR 1.8.2</dc:title>
</cp:coreProperties>
</file>