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3,709 contratos sintéticos para construir 2,328 pares proveedor-entidad, con 6 positivos sembrados. El dataset incorpora features separadas para Contratación Directa y Comparación de Precios.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limpieza, transformación y feature engineering del caso de uso de priorización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Calidad base: 241 valores nulos distribuidos en 237 filas; la imputación se ejecuta de forma reproducible.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monto: percentil 99 = S/ 736,486; 37 registros quedan identificados para capping en la transformación.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y normalización reproducibles; las modalidades se preservan sin convertir Comparación de Precios en sinónimo de Contratación Directa.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Features proveedor-entidad: volumen, monto, diversidad de objetos, concentración, funcionarios distintos, actividad temporal, intensidad contractual y variables separadas por modalidad.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dataset analítico se publica en lakehouse/plata/dataset_favoritismo.csv y es la entrada preferente de los modelos.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EDA, limpieza, imputación, capping, codificación y feature engineering.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capa Plata y validación automática de esquema en GitHub Actions.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técnico completado para el PoC y cubierto por CI. No equivale a certificación con datos internos CGR.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ground truth es sintético; sirve para probar el pipeline, no para estimar precisión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validación institucional requiere fuentes internas, reglas de negocio acordadas y etiquetado por auditores.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preprocesamiento es reproducible y ahora evita una de las principales fuentes de sesgo normativo del diseño anterior: colapsar modalidades distintas en una sola variable.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2026-08-08T00:56:08.986Z</dcterms:created>
  <dcterms:modified xsi:type="dcterms:W3CDTF">2026-08-08T00:56:08.986Z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