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5_421768719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independiente del Módulo de Análisis de Datos implementa un pipeline reproducible para preparación de datos, priorización de señales de posible favoritismo y fraccionamiento, análisis de vínculos, Spark MLlib, GraphFrames, Airflow, Lakehouse local, trazabilidad y generación automática de documentación. La ruta operacional incorpora separación TRAIN/INFERENCE, promoción explícita de champion y una frontera Spark-native para fuentes spark_sql, sin materialización pandas entre la tabla/vista y MLlib. Las salidas son señales para revisión humana y no constituyen hallazgos.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Prototipo independiente. Las métricas sintéticas evalúan el PoC y no estiman desempeño productivo. El análisis de pagos usa datos sintéticos y no representa SIAF real. Las salidas sobre datos públicos son señales de priorización para revisión y no constituyen hallazgos ni determinaciones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5_421768719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421768719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421768719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4217687195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421768719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4217687195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7_4217687195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9_421768719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4217687195">
            <w:r>
              <w:rPr>
                <w:rStyle w:val="IndexLink"/>
              </w:rPr>
              <w:t>3.1 Arquitectura, datos y trazabilidad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4217687195">
            <w:r>
              <w:rPr>
                <w:rStyle w:val="IndexLink"/>
              </w:rPr>
              <w:t>3.2 Preparación y benchmark sintético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4217687195">
            <w:r>
              <w:rPr>
                <w:rStyle w:val="IndexLink"/>
              </w:rPr>
              <w:t>3.3 Modelo de priorización de posible favoritismo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4217687195">
            <w:r>
              <w:rPr>
                <w:rStyle w:val="IndexLink"/>
              </w:rPr>
              <w:t>3.4 Modelo de priorización de posible fraccionamiento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4217687195">
            <w:r>
              <w:rPr>
                <w:rStyle w:val="IndexLink"/>
              </w:rPr>
              <w:t>3.5 Implementación Spark MLlib y GraphFrames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4217687195">
            <w:r>
              <w:rPr>
                <w:rStyle w:val="IndexLink"/>
              </w:rPr>
              <w:t>3.6 Validación de integridad con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4217687195">
            <w:r>
              <w:rPr>
                <w:rStyle w:val="IndexLink"/>
              </w:rPr>
              <w:t>3.7 Autoevaluación, mantenimiento y gobernanza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4217687195">
            <w:r>
              <w:rPr>
                <w:rStyle w:val="IndexLink"/>
              </w:rPr>
              <w:t>3.8 Reporting, documentación y reproducibilidad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4217687195">
            <w:r>
              <w:rPr>
                <w:rStyle w:val="IndexLink"/>
              </w:rPr>
              <w:t>3.9 Matriz de cierre frente al TDR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4217687195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4217687195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4217687195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4217687195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4217687195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4217687195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4217687195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4217687195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4217687195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7_421768719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de componentes del prototipo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del benchmark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de modelos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Métricas holdout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de integridad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Evidencia Spark y GraphFrames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Matriz de cierre: PoC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9_421768719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Detección de señales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801_421768719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803_421768719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5_421768719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Informe Final consolida únicamente evidencia que puede reproducirse desde el repositorio público. Mantiene separados el benchmark sintético/histórico, destinado a validar metodología y reproducibilidad, y la ruta operacional preparada para TRAIN/INFERENCE sobre fuentes canónicas. Ninguna métrica sintética se interpreta como ground truth productivo.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no atribuye al PoC capacidades que dependan de infraestructura o aprobación institucional. Fuentes internas, clúster/catálogo Spark institucional, ambientes DEV/QA/PROD, SQL Server/SSRS institucional, certificación funcional, marcha blanca y transferencia efectiva permanecen como dependencias CGR.</w:t>
      </w:r>
    </w:p>
    <w:p>
      <w:pPr>
        <w:pStyle w:val="Heading1"/>
        <w:spacing w:lineRule="exact" w:line="240" w:before="240" w:after="120"/>
        <w:rPr/>
      </w:pPr>
      <w:bookmarkStart w:id="6" w:name="__RefHeading___Toc807_421768719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Este informe documenta el grado en que dicho objetivo puede demostrarse mediante un prototipo independiente y reproducible.</w:t>
      </w:r>
    </w:p>
    <w:p>
      <w:pPr>
        <w:pStyle w:val="Heading1"/>
        <w:spacing w:lineRule="exact" w:line="240" w:before="240" w:after="120"/>
        <w:rPr/>
      </w:pPr>
      <w:bookmarkStart w:id="7" w:name="__RefHeading___Toc809_421768719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11_421768719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Arquitectura, datos y trazabilidad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mantiene una ruta histórica Bronce -&gt; Plata -&gt; benchmark -&gt; Oro para reproducibilidad y una ruta operacional fuente canónica -&gt; TRAIN/INFERENCE -&gt; champion Spark -&gt; scores. El contrato canónico desacopla nombres físicos de tablas/columnas y registra linaje, hashes y versión de modelos.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de componentes del prototipo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Bronce/Plata/Oro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Simulación local reproducible; Oro contiene salidas downstream del PoC.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DAGs separados para reproducibilidad, TRAIN, INFERENCE y monitoreo.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pytest + smoke end-to-end + generación/validación documental.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MLlib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histórico ejecutado en local[*]; TRAIN/INFERENCE operacionales admiten master configurable y spark_sql Spark-native.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spark_sql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 DataFrame desde tabla/vista hasta MLlib; mapping/validación/FIT en Spark y rankings Parquet distribuidos,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Ejecución real sobre datos de contacto sintéticos publicados en Plata.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Linaje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outputs/linaje_datos.csv: fuente -&gt; transformación -&gt; feature -&gt; implementación -&gt; salida.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Registry, hashes, candidate/champion y promoción explícita; sin autopromoción en TRAIN.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13_421768719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Preparación y benchmark sintético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Resumen del benchmark sintético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800"/>
        <w:gridCol w:w="3999"/>
      </w:tblGrid>
      <w:tr>
        <w:trPr>
          <w:tblHeader w:val="true"/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263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algún nulo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259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favoritismo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proveedor-entidad-objeto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265</w:t>
            </w:r>
          </w:p>
        </w:tc>
      </w:tr>
      <w:tr>
        <w:trPr>
          <w:cantSplit w:val="true"/>
        </w:trPr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 de fraccionamiento</w:t>
            </w:r>
          </w:p>
        </w:tc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generador incorpora hard negatives y una categoría contractual estructurada goods/services/works para reducir separación trivial y ambigüedad normativa.</w:t>
      </w:r>
    </w:p>
    <w:p>
      <w:pPr>
        <w:pStyle w:val="Heading2"/>
        <w:spacing w:lineRule="exact" w:line="240" w:before="180" w:after="80"/>
        <w:rPr/>
      </w:pPr>
      <w:bookmarkStart w:id="10" w:name="__RefHeading___Toc815_421768719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 de priorización de posible favoritismo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3 algoritmos con undefined. La métrica primaria es AUC-PR por desbalance.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de modelos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conserva el mayor AUC-PR. El tuning selecciona n_estimators=100, max_depth=4 y min_samples_leaf=1, con AUC-PR CV 1.000.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permanecen como features separadas. SHAP aporta explicación global e individual sin convertir el score en una determinación de responsabilidad.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817_421768719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Modelo de priorización de posible fraccionamiento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holdout final separado antes del tuning; ranking y umbral calibrados solo en desarrollo. La selección se realiza por AUC-PR media para ranking; F1 medio para contamination/umbral binario; el holdout final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Métricas holdout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80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Anomalías predichas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diferencia entre AUC-ROC y AUC-PR confirma que el detector separa parcialmente extremos, pero su desempeño sobre la clase positiva es débil. La regla interpretable de ventana temporal y cuantía se conserva únicamente como señal complementaria de caja blanca.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Detección de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9_421768719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Implementación Spark MLlib y GraphFrames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Evidencia Spark y GraphFrames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 reproducible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RandomForestClassifier; 3-fold estratificado con orden xxhash64 determinístico; modo histórico local[*]; AUC-PR CV sanity 1.000.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Spark benchmark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+ distancia al centroide; k=2; modo histórico local[*].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Serving operacional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TRAIN/INFERENCE MLlib con master configurable; spark_sql mantiene DataFrame Spark, medianas distribuidas y salida Parquet sin toPandas.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280 vértices, 3130 aristas y 5 señales sintéticas.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Versiones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4.1.1; GraphFrames 0.10.0; Java 17 en CI.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Spark del benchmark sintético no se utilizan como estimación productiva. La evidencia demuestra ejecución MLlib y el contrato distribuido; rendimiento, robustez y aceptación sobre el clúster/datos CGR requieren pruebas institucionales.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3" w:name="__RefHeading___Toc821_421768719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Validación de integridad con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relación analítica se reconstruyó como Contract(main_ocid, awardID) -&gt; Award(main_ocid, id) -&gt; awards_suppliers(main_ocid, awards_id). El supplier se resuelve mediante el award relacionado con cada contrato y la clave analítica es OCID::contract.id.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de integridad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válidos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Consorcios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7,486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total procesado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23,082,420,702.60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Grupos priorizados por señal de fraccionamiento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322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conteo antiguo de 47,442 fue descartado; el conteo corregido es 47,254. Los rankings reales identificables no se publican en el repositorio.</w:t>
      </w:r>
    </w:p>
    <w:p>
      <w:pPr>
        <w:pStyle w:val="Heading2"/>
        <w:spacing w:lineRule="exact" w:line="240" w:before="180" w:after="80"/>
        <w:rPr/>
      </w:pPr>
      <w:bookmarkStart w:id="14" w:name="__RefHeading___Toc823_421768719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Autoevaluación, mantenimiento y gobernanza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Monitoreo de calidad y drift mediante controles de esquema y PSI.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de desempeño solo cuando exista ground truth nuevo y validado.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Reentrenamiento genera un modelo candidato y lo evalúa en holdout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Promoción automática deshabilitada; se requiere revisión y aprobación humana.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Normativa parametrizada por fecha/categoría con pruebas de regresión.</w:t>
      </w:r>
    </w:p>
    <w:p>
      <w:pPr>
        <w:pStyle w:val="Heading2"/>
        <w:spacing w:lineRule="exact" w:line="240" w:before="180" w:after="80"/>
        <w:rPr/>
      </w:pPr>
      <w:bookmarkStart w:id="15" w:name="__RefHeading___Toc825_421768719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Reporting, documentación y reproducibilidad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Esquema T-SQL y RDL de SSRS disponibles como artefactos de despliegue; servidor institucional no ejecutado.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y diagrama del modelo de datos regenerados automáticamente.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run_manifest.json registra commit, versiones, hashes, parámetros, métricas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proporciona linaje explícito de fuente a salida Oro.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Final se generan desde evidencia_documental.json.</w:t>
      </w:r>
    </w:p>
    <w:p>
      <w:pPr>
        <w:pStyle w:val="Heading2"/>
        <w:spacing w:lineRule="exact" w:line="240" w:before="180" w:after="80"/>
        <w:rPr/>
      </w:pPr>
      <w:bookmarkStart w:id="16" w:name="__RefHeading___Toc827_421768719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Matriz de cierre frente al TDR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Matriz de cierre: PoC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limpieza y feature engineering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OOF/tuning/SHAP + Spark MLlib ejecutado.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 no supervisado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Isolation Forest con holdout + KMeans Spark + señal interpretable.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Spark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 sin pandas intermedio; prueba de carga en clúster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NetworkX + GraphFrames ejecutado con escenario sintético.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Airflow/Lakehouse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Orquestación/contrato implementados; infraestructura institucional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Autoevaluación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 + gate humano; gobierno productivo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T-SQL + RDL preparados; servidor SQL/SSRS CGR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DEV/QA/PROD y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Marcha blanca y transferencia efectiva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contractual/institucional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real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Requiere etiquetado y validación por auditores.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17" w:name="__RefHeading___Toc829_421768719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prototipo demuestra viabilidad técnica y reproducibilidad sin ocultar sus límites. Random Forest es el candidato principal del benchmark de favoritismo por AUC-PR e interpretabilidad. En fraccionamiento, la baja AUC-PR del holdout impide presentar el detector como clasificador de irregularidades y refuerza la necesidad de revisión humana.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distingue el benchmark histórico local de la ruta operacional: TRAIN/INFERENCE admiten master Spark configurable y, con spark_sql, mantienen el procesamiento distribuido sin toPandas hasta la escritura Parquet. Lo pendiente es validar esta arquitectura con volumen, seguridad, rendimiento y robustez sobre infraestructura CGR.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fase institucional se recomienda: obtener ground truth real; validar reglas con auditores/especialistas normativos; desplegar primero en DEV/QA; probar particionamiento y tiempos con datos internos; calibrar capacidad de revisión; habilitar controles de acceso/linaje;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8" w:name="__RefHeading___Toc831_421768719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Commit utilizado por la evidencia: fd37de3cdeb4d5b3b2f52494d5cce240b66a53e9.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outputs/evidencia_documental.json - fuente única de cifras documentales.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- entorno, hashes, parámetros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outputs/linaje_datos.csv - linaje de campos y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data/diccionario_datos.csv - diccionario de 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outputs/validacion_p0_datos_reales.json - integridad y conteos OCDS/OECE.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outputs/spark_favoritismo_resumen.json y outputs/spark_fraccionamiento_resumen.json - benchmark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tests/test_spark_native_integration.py - regresión de integración Spark-native.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outputs/graphframes_resumen.json - evidencia GraphFrames.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Directorio ssrs/ - artefactos T-SQL y RDL del PoC.</w:t>
      </w:r>
    </w:p>
    <w:p>
      <w:pPr>
        <w:pStyle w:val="Heading1"/>
        <w:spacing w:lineRule="auto" w:line="240" w:before="0" w:after="60"/>
        <w:rPr/>
      </w:pPr>
      <w:bookmarkStart w:id="19" w:name="__RefHeading___Toc833_4217687195"/>
      <w:bookmarkEnd w:id="1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0" w:name="__RefHeading___Toc835_4217687195"/>
      <w:bookmarkEnd w:id="2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1" w:name="__RefHeading___Toc837_4217687195"/>
      <w:bookmarkEnd w:id="2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2" w:name="__RefHeading___Toc839_4217687195"/>
      <w:bookmarkEnd w:id="2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841_4217687195"/>
      <w:bookmarkEnd w:id="2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4" w:name="__RefHeading___Toc843_4217687195"/>
      <w:bookmarkEnd w:id="2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5" w:name="__RefHeading___Toc845_4217687195"/>
      <w:bookmarkEnd w:id="2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11</Pages>
  <Words>2239</Words>
  <Characters>14763</Characters>
  <CharactersWithSpaces>16650</CharactersWithSpaces>
  <Paragraphs>333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2026-08-11T00:47:46Z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2026-08-11T00:47:49Z</dcterms:modified>
  <cp:revision>2</cp:revision>
  <dc:subject/>
  <dc:title>Informe Final Técnico Consolidado - Prototipo independiente CGR 1.8.2</dc:title>
</cp:coreProperties>
</file>