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7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- Entrenamiento, Validación y Cierre Técnico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4150_4217687195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cierre técnico del PoC integra validación de favoritismo y fraccionamiento, ejecución Spark MLlib, GraphFrames, Airflow, capas Bronce/Plata/Oro, trazabilidad y documentación automática. La reconstrucción OCDS vigente contiene 47,254 contratos analíticos válidos a partir de 47,510 contratos crudos. Las actividades que exigen ambientes CGR, certificación funcional, marcha blanca y transferencia efectiva se identifican expresamente como dependencias institucionales.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4150_4217687195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52_4217687195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54_4217687195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56_4217687195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58_4217687195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60_4217687195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62_4217687195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64_4217687195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66_4217687195">
            <w:r>
              <w:rPr>
                <w:rStyle w:val="IndexLink"/>
              </w:rPr>
              <w:t>3.1 Entrenamiento y validación del modelo de fraccionamiento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68_4217687195">
            <w:r>
              <w:rPr>
                <w:rStyle w:val="IndexLink"/>
              </w:rPr>
              <w:t>3.2 Documentación técnica y manual de implementación/despliegue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70_4217687195">
            <w:r>
              <w:rPr>
                <w:rStyle w:val="IndexLink"/>
              </w:rPr>
              <w:t>3.3 Pruebas de integración y validación del pipeline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72_4217687195">
            <w:r>
              <w:rPr>
                <w:rStyle w:val="IndexLink"/>
              </w:rPr>
              <w:t>3.4 Plan de monitoreo y mantenimiento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74_4217687195">
            <w:r>
              <w:rPr>
                <w:rStyle w:val="IndexLink"/>
              </w:rPr>
              <w:t>3.5 Transferencia de conocimiento y mejoras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76_4217687195">
            <w:r>
              <w:rPr>
                <w:rStyle w:val="IndexLink"/>
              </w:rPr>
              <w:t>4.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78_4217687195">
            <w:r>
              <w:rPr>
                <w:rStyle w:val="IndexLink"/>
              </w:rPr>
              <w:t>5.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80_4217687195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82_4217687195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84_4217687195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86_4217687195">
            <w:r>
              <w:rPr>
                <w:rStyle w:val="IndexLink"/>
              </w:rPr>
              <w:t>Modalidades por régimen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88_4217687195">
            <w:r>
              <w:rPr>
                <w:rStyle w:val="IndexLink"/>
              </w:rPr>
              <w:t>Arquitectura operacional Spark-native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90_4217687195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92_4217687195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4152_4217687195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finales del benchmark de fraccionamiento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Estado de los componentes de cierre del Séptimo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Plan de monitoreo y mantenimiento</w:t>
      </w:r>
    </w:p>
    <w:p>
      <w:pPr>
        <w:pStyle w:val="Heading1"/>
        <w:spacing w:lineRule="exact" w:line="240" w:before="240" w:after="120"/>
        <w:rPr/>
      </w:pPr>
      <w:bookmarkStart w:id="2" w:name="__RefHeading___Toc4154_4217687195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Red proveedor-funcionario del escenario sintético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DAG principal de orquestación del PoC</w:t>
      </w:r>
    </w:p>
    <w:p>
      <w:pPr>
        <w:pStyle w:val="Heading1"/>
        <w:spacing w:lineRule="exact" w:line="240" w:before="240" w:after="120"/>
        <w:rPr/>
      </w:pPr>
      <w:bookmarkStart w:id="3" w:name="__RefHeading___Toc4156_4217687195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4158_4217687195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4160_4217687195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Séptimo Producto consolida entrenamiento y validación del caso de fraccionamiento y los documentos técnicos de cierre: implementación/despliegue, integración, pipeline, monitoreo, repositorio y transferencia. El presente documento mantiene separados los componentes ejecutables del PoC y aquellos que solo pueden completarse dentro de CGR.</w:t>
      </w:r>
    </w:p>
    <w:p>
      <w:pPr>
        <w:pStyle w:val="Heading1"/>
        <w:spacing w:lineRule="exact" w:line="240" w:before="240" w:after="120"/>
        <w:rPr/>
      </w:pPr>
      <w:bookmarkStart w:id="6" w:name="__RefHeading___Toc4162_4217687195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4164_4217687195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4166_4217687195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Entrenamiento y validación del modelo de fraccionamiento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finales del benchmark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0.659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0.133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configuración seleccionada es n_estimators=100, max_samples=0.8, contamination=0.05. El modelo se persiste junto con su scaler en outputs/models/.</w:t>
      </w:r>
    </w:p>
    <w:p>
      <w:pPr>
        <w:pStyle w:val="Heading2"/>
        <w:spacing w:lineRule="exact" w:line="240" w:before="180" w:after="80"/>
        <w:rPr/>
      </w:pPr>
      <w:bookmarkStart w:id="9" w:name="__RefHeading___Toc4168_4217687195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Documentación técnica y manual de implementación/despliegue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Entorno Python reproducible mediante requirements.txt; Spark usa Java 17 y PySpark fijado por versión.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Ejecución de regresión: pytest -q.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Pipeline local: generación -&gt; Bronce -&gt; preprocesamiento -&gt; Plata -&gt; modelos sklearn/Spark/GraphFrames -&gt; Oro -&gt; manifiesto -&gt; documentación.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Airflow usa CGR_PROJECT_PYTHON para separar el runtime del proyecto del entorno propio de Airflow.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modelos candidatos no se promocionan automáticamente; la promoción requiere revisión humana.</w:t>
      </w:r>
    </w:p>
    <w:p>
      <w:pPr>
        <w:pStyle w:val="Heading2"/>
        <w:spacing w:lineRule="exact" w:line="240" w:before="180" w:after="80"/>
        <w:rPr/>
      </w:pPr>
      <w:bookmarkStart w:id="10" w:name="__RefHeading___Toc4170_4217687195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Pruebas de integración y validación del pipeline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Estado de los componentes de cierre del Séptimo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600"/>
        <w:gridCol w:w="5199"/>
      </w:tblGrid>
      <w:tr>
        <w:trPr>
          <w:tblHeader w:val="true"/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Componente solicitado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 verificable del PoC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 de pruebas de integración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GitHub Actions ejecuta pytest y smoke end-to-end en cada push/PR.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del pipeline completo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Ejecutado desde Bronce/Plata hasta Spark, Oro, linaje, manifiesto y DOCX.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Documentación para certificación/producción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Generada como PoC; certificación institucional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Incidencias en certificación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aplicable fuera de ambientes CGR; no se inventan incidencias.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Transferencia a usuarios técnicos/funcionales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Material y estructura disponibles; sesión efectiva pendiente de usuarios CGR.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Repositorio organizado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Código, datasets sintéticos, evidencias, reportes y CI versionados en GitHub.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Mejoras de marcha blanca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existe marcha blanca institucional; se documentan mejoras derivadas de auditorías técnicas del PoC.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Red proveedor-funcionario del escenario sintético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40005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DAG principal de orquestación del PoC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28575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4172_4217687195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Plan de monitoreo y mantenimiento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Plan de monitoreo y mantenimiento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800"/>
        <w:gridCol w:w="5999"/>
      </w:tblGrid>
      <w:tr>
        <w:trPr>
          <w:tblHeader w:val="true"/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Control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Acción propuesta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Calidad de datos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Validar esquema, nulos, rangos y conteos antes del scoring.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Drift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Calcular PSI sobre features clave y revisar cambios materiales.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Desempeño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Medir AUC-PR/recall cuando exista ground truth nuevo y validado.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Reentrenamiento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Generar modelo candidato; evaluar en holdout independiente; no promover automáticamente.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Trazabilidad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Registrar commit, versiones, hashes, parámetros y artefactos en run_manifest.json.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Normativa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Versionar cuantías y vigencias; ejecutar pruebas unitarias ante cada cambio.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4174_4217687195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Transferencia de conocimiento y mejoras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documentación, README, diccionario, linaje, manifiesto, código comentado y productos formales constituyen material base para transferencia. La realización y acta de sesiones con usuarios técnicos/funcionales requiere coordinación y participantes CGR.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corrección de integridad OCDS Contract -&gt; Award -&gt; Supplier.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separación de Contratación Directa y Comparación de Precios.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holdout independiente para fraccionamiento y eliminación de leakage de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Spark MLlib y GraphFrames incorporados al pipeline canónico y al CI.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documentación regenerada automáticamente desde evidencia versionada.</w:t>
      </w:r>
    </w:p>
    <w:p>
      <w:pPr>
        <w:pStyle w:val="Heading1"/>
        <w:spacing w:lineRule="exact" w:line="240" w:before="240" w:after="120"/>
        <w:rPr/>
      </w:pPr>
      <w:bookmarkStart w:id="13" w:name="__RefHeading___Toc4176_4217687195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PoC queda técnicamente reproducible y con las principales brechas de integridad, modelado, Spark y trazabilidad cerradas. Random Forest es el candidato principal del benchmark de favoritismo; en fraccionamiento la baja AUC-PR del holdout obliga a mantener una interpretación prudente y revisión humana. Como siguiente paso institucional se recomienda validar ground truth con auditores, desplegar en DEV/QA, medir rendimiento distribuido y ejecutar certificación, marcha blanca y transferencia formal.</w:t>
      </w:r>
    </w:p>
    <w:p>
      <w:pPr>
        <w:pStyle w:val="Heading1"/>
        <w:spacing w:lineRule="exact" w:line="240" w:before="240" w:after="120"/>
        <w:rPr/>
      </w:pPr>
      <w:bookmarkStart w:id="14" w:name="__RefHeading___Toc4178_4217687195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GraphFrames ejecutado: 280 vértices y 3130 aristas en escenario sintético.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Diccionario de datos: data/diccionario_datos.csv.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Diagrama del modelo: outputs/charts/09_diagrama_modelo_datos.png.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Artefactos SSRS PoC: directorio ssrs/.</w:t>
      </w:r>
    </w:p>
    <w:p>
      <w:pPr>
        <w:pStyle w:val="Heading1"/>
        <w:spacing w:lineRule="auto" w:line="240" w:before="0" w:after="60"/>
        <w:rPr/>
      </w:pPr>
      <w:bookmarkStart w:id="15" w:name="__RefHeading___Toc4180_4217687195"/>
      <w:bookmarkEnd w:id="15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6" w:name="__RefHeading___Toc4182_4217687195"/>
      <w:bookmarkEnd w:id="16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7" w:name="__RefHeading___Toc4184_4217687195"/>
      <w:bookmarkEnd w:id="17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8" w:name="__RefHeading___Toc4186_4217687195"/>
      <w:bookmarkEnd w:id="18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9" w:name="__RefHeading___Toc4188_4217687195"/>
      <w:bookmarkEnd w:id="19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0" w:name="__RefHeading___Toc4190_4217687195"/>
      <w:bookmarkEnd w:id="20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1" w:name="__RefHeading___Toc4192_4217687195"/>
      <w:bookmarkEnd w:id="2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Informe Final - Entrenamiento, Validación y Cierre Técnico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2026-08-11T00:47:46Z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2026-08-11T00:47:52Z</dcterms:modified>
  <cp:revision>2</cp:revision>
  <dc:subject/>
  <dc:title>Informe Final - Entrenamiento, Validación y Cierre Técnico - Prototipo independiente CGR 1.8.2</dc:title>
</cp:coreProperties>
</file>