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REPORTE TÉCNICO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Reporte Técnico Consolidado del Prototipo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Este documento consolida el estado verificable del prototipo independiente del Módulo de Análisis de Datos. La versión actual corrige las principales brechas detectadas durante la auditoría técnica: integridad OCDS, modelado normativo, validación independiente, reproducibilidad de Airflow, gobernanza de reentrenamiento, trazabilidad y documentación basada en evidencia automática.</w:t>
      </w:r>
    </w:p>
    <w:p>
      <w:pPr>
        <w:spacing w:after="140"/>
      </w:pPr>
      <w:r>
        <w:rPr>
          <w:sz w:val="21"/>
          <w:szCs w:val="21"/>
        </w:rPr>
        <w:t xml:space="preserve">Prototipo independiente. Las métricas sintéticas evalúan el PoC y no estiman desempeño productivo. Las salidas sobre datos públicos son señales de priorización para revisión y no constituyen hallazgos ni determinaciones de irregularidad.</w:t>
      </w:r>
    </w:p>
    <w:p>
      <w:pPr>
        <w:pStyle w:val="Heading1"/>
        <w:spacing w:after="140" w:before="260"/>
      </w:pPr>
      <w:r>
        <w:t xml:space="preserve">1. Alcance y Separación de Evidencias</w:t>
      </w:r>
    </w:p>
    <w:p>
      <w:pPr>
        <w:spacing w:after="140"/>
      </w:pPr>
      <w:r>
        <w:rPr>
          <w:sz w:val="21"/>
          <w:szCs w:val="21"/>
        </w:rPr>
        <w:t xml:space="preserve">El proyecto mantiene dos ejercicios claramente separados: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 sintético: permite probar end-to-end limpieza, features, selección de algoritmos, tuning, ranking, explicabilidad, grafos y MLOps con ground truth sembrado.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con datos públicos OCDS/OECE: verifica principalmente integridad relacional, escalabilidad del pipeline y generación de señales sin ground truth real.</w:t>
      </w:r>
    </w:p>
    <w:p>
      <w:pPr>
        <w:spacing w:after="140"/>
      </w:pPr>
      <w:r>
        <w:rPr>
          <w:sz w:val="21"/>
          <w:szCs w:val="21"/>
        </w:rPr>
        <w:t xml:space="preserve">No se mezclan las métricas del benchmark sintético con los resultados sobre datos públicos. En particular, ningún ranking real se presenta como evidencia de irregularidad.</w:t>
      </w:r>
    </w:p>
    <w:p>
      <w:pPr>
        <w:pStyle w:val="Heading1"/>
        <w:spacing w:after="140" w:before="260"/>
      </w:pPr>
      <w:r>
        <w:t xml:space="preserve">2. Arquitectura del PoC</w:t>
      </w:r>
    </w:p>
    <w:p>
      <w:pPr>
        <w:spacing w:after="140"/>
      </w:pPr>
      <w:r>
        <w:rPr>
          <w:sz w:val="21"/>
          <w:szCs w:val="21"/>
        </w:rPr>
        <w:t xml:space="preserve">Flujo implementado: fuentes → Bronce → limpieza/feature engineering → Plata → selección/modelado → Oro → trazabilidad/documentación.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200"/>
      </w:tblGrid>
      <w:tr>
        <w:trPr>
          <w:cantSplit/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 / componente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el PoC</w:t>
            </w:r>
          </w:p>
        </w:tc>
        <w:tc>
          <w:tcPr>
            <w:tcW w:type="dxa" w:w="2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Bronce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Ingesta local de fuentes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Plata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 limpios y features consumidos por modelos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y usado por sklearn/Spark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Oro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Rankings/salidas para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Airflow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Orquestación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DAGs implementados; Python de proyecto separado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y smoke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Activo en cada push/PR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Delta Lake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ACID/time travel local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con retención explícita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GraphFrames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Análisis de red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en escenario sintético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SSRS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Artefactos de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RDL + T-SQL preparados; servidor institucional no ejecutado</w:t>
            </w:r>
          </w:p>
        </w:tc>
      </w:tr>
    </w:tbl>
    <w:p>
      <w:pPr>
        <w:pStyle w:val="Heading1"/>
        <w:spacing w:after="140" w:before="260"/>
      </w:pPr>
      <w:r>
        <w:t xml:space="preserve">3. Preparación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sintéticos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3,709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Valores nulos totales en fuente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Filas con al menos un nulo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Percentil 99 del monto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736,486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sobre P99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Pares proveedor-entidad para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2,328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Grupos proveedor-entidad-objeto para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generador sintético incorpora hard negatives para evitar que el modelo aprenda únicamente un patrón trivial. También incorpora una categoría principal estructurada para distinguir goods/services/works y reducir ambigüedades del texto contractual.</w:t>
      </w:r>
    </w:p>
    <w:p>
      <w:pPr>
        <w:pStyle w:val="Heading1"/>
        <w:spacing w:after="140" w:before="260"/>
      </w:pPr>
      <w:r>
        <w:t xml:space="preserve">4. Modelo de Priorización de Posible Favoritismo</w:t>
      </w:r>
    </w:p>
    <w:p>
      <w:pPr>
        <w:pStyle w:val="Heading2"/>
        <w:spacing w:after="90" w:before="180"/>
      </w:pPr>
      <w:r>
        <w:t xml:space="preserve">4.1 Comparación de algoritmos</w:t>
      </w:r>
    </w:p>
    <w:p>
      <w:pPr>
        <w:spacing w:after="140"/>
      </w:pPr>
      <w:r>
        <w:rPr>
          <w:sz w:val="21"/>
          <w:szCs w:val="21"/>
        </w:rPr>
        <w:t xml:space="preserve">Se compararon 3 candidatos con predicciones out-of-fold, StratifiedKFold 3-fold, mismas particiones para todos. La métrica primaria fue AUC-PR por desbalance severo.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300"/>
        <w:gridCol w:w="1300"/>
        <w:gridCol w:w="1300"/>
      </w:tblGrid>
      <w:tr>
        <w:trPr>
          <w:cantSplit/>
          <w:tblHeader/>
        </w:trPr>
        <w:tc>
          <w:tcPr>
            <w:tcW w:type="dxa" w:w="2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AUC-PR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AUC-ROC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Precision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0.671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Logística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0.621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0.418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0.749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42.9%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0.462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Random Forest es el mejor candidato del benchmark por AUC-PR. A diferencia de versiones antiguas, el resultado ya no es perfecto: esto refleja mejor la dificultad introducida por los hard negatives y evita sobreinterpretar el experimento.</w:t>
      </w:r>
    </w:p>
    <w:p>
      <w:pPr>
        <w:pStyle w:val="Heading2"/>
        <w:spacing w:after="90" w:before="180"/>
      </w:pPr>
      <w:r>
        <w:t xml:space="preserve">4.2 Tuning y configuración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000"/>
      </w:tblGrid>
      <w:tr>
        <w:trPr>
          <w:cantSplit/>
          <w:tblHeader/>
        </w:trPr>
        <w:tc>
          <w:tcPr>
            <w:tcW w:type="dxa" w:w="38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 de selección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average_precision (AUC-PR)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StratifiedKFold(n_splits=3, shuffle=True, random_state=42)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max_depth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min_samples_leaf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AUC-PR CV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0.844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Contratación Directa y Comparación de Precios se mantienen como variables separadas. El modelo no impone que ambas tengan la misma naturaleza competitiva.</w:t>
      </w:r>
    </w:p>
    <w:p>
      <w:pPr>
        <w:pStyle w:val="Heading2"/>
        <w:spacing w:after="90" w:before="180"/>
      </w:pPr>
      <w:r>
        <w:t xml:space="preserve">4.3 Interpretabilidad</w:t>
      </w:r>
    </w:p>
    <w:p>
      <w:pPr>
        <w:spacing w:after="140"/>
      </w:pPr>
      <w:r>
        <w:rPr>
          <w:sz w:val="21"/>
          <w:szCs w:val="21"/>
        </w:rPr>
        <w:t xml:space="preserve">La implementación mantiene SHAP para explicabilidad global e individual del Random Forest. Las explicaciones sirven como soporte al auditor para entender por qué un par fue priorizado; no transforman el score en una determinación de responsabilidad.</w:t>
      </w:r>
    </w:p>
    <w:p>
      <w:pPr>
        <w:pStyle w:val="Heading1"/>
        <w:spacing w:after="140" w:before="260"/>
      </w:pPr>
      <w:r>
        <w:t xml:space="preserve">5. Detección de Señales de Posible Fraccionamiento</w:t>
      </w:r>
    </w:p>
    <w:p>
      <w:pPr>
        <w:pStyle w:val="Heading2"/>
        <w:spacing w:after="90" w:before="180"/>
      </w:pPr>
      <w:r>
        <w:t xml:space="preserve">5.1 Feature engineering y normativa</w:t>
      </w:r>
    </w:p>
    <w:p>
      <w:pPr>
        <w:spacing w:after="140"/>
      </w:pPr>
      <w:r>
        <w:rPr>
          <w:sz w:val="21"/>
          <w:szCs w:val="21"/>
        </w:rPr>
        <w:t xml:space="preserve">El pipeline usa ventanas móviles de 15 días, frecuencia, monto acumulado y proporción de montos bajo el umbral aplicable. El umbral depende de fecha y categoría; se eliminó el supuesto de S/400 mil como regla general. Cuando existe categoría estructurada goods/services/works, esta tiene prioridad sobre inferencias por texto.</w:t>
      </w:r>
    </w:p>
    <w:p>
      <w:pPr>
        <w:pStyle w:val="Heading2"/>
        <w:spacing w:after="90" w:before="180"/>
      </w:pPr>
      <w:r>
        <w:t xml:space="preserve">5.2 Diseño de validación</w:t>
      </w:r>
    </w:p>
    <w:p>
      <w:pPr>
        <w:spacing w:after="140"/>
      </w:pPr>
      <w:r>
        <w:rPr>
          <w:sz w:val="21"/>
          <w:szCs w:val="21"/>
        </w:rPr>
        <w:t xml:space="preserve">holdout final separado antes del tuning; validaciones repetidas solo en desarrollo. La selección se realiza por AUC-PR media en validaciones repetidas; recall@K queda como métrica secundaria por su alta varianza con pocos positivos.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 holdout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Anomalías predichas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0.856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AUC-PR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0.171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17.6%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100.0%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0.300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Recall@K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0.000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La diferencia entre AUC-ROC y AUC-PR es importante: el ranking separa parcialmente los extremos, pero el rendimiento sobre la clase positiva es débil. Con precision baja y un número relevante de anomalías predichas, el detector no debe presentarse como clasificador de fraccionamiento real.</w:t>
      </w:r>
    </w:p>
    <w:p>
      <w:pPr>
        <w:spacing w:after="140"/>
      </w:pPr>
      <w:r>
        <w:rPr>
          <w:sz w:val="21"/>
          <w:szCs w:val="21"/>
        </w:rPr>
        <w:t xml:space="preserve">La regla interpretable se conserva como señal complementaria de caja blanca. Una coincidencia con la regla indica prioridad de revisión, no prueba jurídica de fraccionamiento.</w:t>
      </w:r>
    </w:p>
    <w:p>
      <w:pPr>
        <w:pStyle w:val="Heading1"/>
        <w:spacing w:after="140" w:before="260"/>
      </w:pPr>
      <w:r>
        <w:t xml:space="preserve">6. Análisis de Vínculos</w:t>
      </w:r>
    </w:p>
    <w:p>
      <w:pPr>
        <w:spacing w:after="140"/>
      </w:pPr>
      <w:r>
        <w:rPr>
          <w:sz w:val="21"/>
          <w:szCs w:val="21"/>
        </w:rPr>
        <w:t xml:space="preserve">El PoC implementa un grafo proveedor-funcionario sobre datos sintéticos enriquecidos, tanto con networkx como con GraphFrames. La señal de contacto compartido es un ejemplo técnico del numeral de análisis de grafos; en una implementación real requeriría fuentes institucionales autorizadas y criterios de calidad/privacidad definidos.</w:t>
      </w:r>
    </w:p>
    <w:p>
      <w:pPr>
        <w:spacing w:after="140"/>
      </w:pPr>
      <w:r>
        <w:rPr>
          <w:sz w:val="21"/>
          <w:szCs w:val="21"/>
        </w:rPr>
        <w:t xml:space="preserve">En la reconstrucción pública OCDS se evaluaron 37,626 pares para vínculos organizacionales y se obtuvieron 0 señales por teléfono/dirección compartidos con los campos públicos disponibles.</w:t>
      </w:r>
    </w:p>
    <w:p>
      <w:pPr>
        <w:pStyle w:val="Heading1"/>
        <w:spacing w:after="140" w:before="260"/>
      </w:pPr>
      <w:r>
        <w:t xml:space="preserve">7. Validación de Integridad con Datos Públicos OCDS/OECE</w:t>
      </w:r>
    </w:p>
    <w:p>
      <w:pPr>
        <w:spacing w:after="140"/>
      </w:pPr>
      <w:r>
        <w:rPr>
          <w:sz w:val="21"/>
          <w:szCs w:val="21"/>
        </w:rPr>
        <w:t xml:space="preserve">La regla relacional aplicada es: Contract(main_ocid, awardID) -&gt; Award(main_ocid, id) -&gt; awards_suppliers(main_ocid, awards_id). El supplier se asigna a través del award relacionado con cada contrato y no a nivel de todo el proceso.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crudos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47,510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analíticos válidos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47,254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Excluidos sin adjudicación resoluble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Adjudicatarios distintos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25,861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Consorcios/adjudicatarios tipo consorcio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Entidades distintas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2,732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Monto total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23,082,420,702.60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Rango de fechas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2018-09-18 a 2024-11-08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 OCDS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Contratos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goods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23,630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services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18,584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works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5,040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conteo antiguo de 47,442 fue descartado. La reconstrucción vigente contiene 47,254 contratos analíticos. Los rankings reales identificables de la ejecución anterior fueron retirados del repositorio público.</w:t>
      </w:r>
    </w:p>
    <w:p>
      <w:pPr>
        <w:pStyle w:val="Heading1"/>
        <w:spacing w:after="140" w:before="260"/>
      </w:pPr>
      <w:r>
        <w:t xml:space="preserve">8. Airflow, CI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corre en un entorno virtual separado; los BashOperator ejecutan el Python del proyecto mediante CGR_PROJECT_PYTHON o .venv/bin/python.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ejecuta pytest, reconstruye los sintéticos, publica Plata, compara algoritmos y ejecuta ambos tunings.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resúmenes de selección/tuning se guardan en JSON y se suben como artifact de CI.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documentación se genera después de construir evidencia_documental.json; por diseño no contiene números independientes de esa fuente.</w:t>
      </w:r>
    </w:p>
    <w:p>
      <w:pPr>
        <w:pStyle w:val="Heading1"/>
        <w:spacing w:after="140" w:before="260"/>
      </w:pPr>
      <w:r>
        <w:t xml:space="preserve">9. Autoevaluación, Reentrenamiento y Gate de Promoción</w:t>
      </w:r>
    </w:p>
    <w:p>
      <w:pPr>
        <w:spacing w:after="140"/>
      </w:pPr>
      <w:r>
        <w:rPr>
          <w:sz w:val="21"/>
          <w:szCs w:val="21"/>
        </w:rPr>
        <w:t xml:space="preserve">El mecanismo de autoevaluación revisa Population Stability Index y un umbral absoluto de recall mínimo. Si se dispara una actualización, el lote nuevo se separa en datos de actualización y holdout. El candidato se entrena con la porción de actualización y se evalúa sobre el holdout. La promoción automática está deshabilitada; cualquier reemplazo del modelo productivo exige revisión/aprobación humana.</w:t>
      </w:r>
    </w:p>
    <w:p>
      <w:pPr>
        <w:pStyle w:val="Heading1"/>
        <w:spacing w:after="140" w:before="260"/>
      </w:pPr>
      <w:r>
        <w:t xml:space="preserve">10. Delta Lake, HMS y Componentes Spark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Lake: demostración local de UPDATE/ACID, time travel y Change Data Feed.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Limitación de retención: el historial solo es recuperable mientras los archivos de versiones estén retenidos; VACUUM puede purgarlos.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HMS: catálogo local con backend embebido como PoC; no equivale al HMS MySQL institucional.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Spark MLlib y GraphFrames: probados en modo local. No equivalen a un clúster institucional ni validan rendimiento distribuido en infraestructura CGR.</w:t>
      </w:r>
    </w:p>
    <w:p>
      <w:pPr>
        <w:pStyle w:val="Heading1"/>
        <w:spacing w:after="140" w:before="260"/>
      </w:pPr>
      <w:r>
        <w:t xml:space="preserve">11. Reporting SSRS</w:t>
      </w:r>
    </w:p>
    <w:p>
      <w:pPr>
        <w:spacing w:after="140"/>
      </w:pPr>
      <w:r>
        <w:rPr>
          <w:sz w:val="21"/>
          <w:szCs w:val="21"/>
        </w:rPr>
        <w:t xml:space="preserve">El repositorio contiene un esquema T-SQL y un archivo RDL real como artefactos de despliegue. No se afirma que exista una ejecución sobre SQL Server/SSRS institucional: esa integración depende del entorno CGR.</w:t>
      </w:r>
    </w:p>
    <w:p>
      <w:pPr>
        <w:pStyle w:val="Heading1"/>
        <w:spacing w:after="140" w:before="260"/>
      </w:pPr>
      <w:r>
        <w:t xml:space="preserve">12. Componentes No Demostrados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acceso al Datamart y fuentes internas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despliegue real DEV/QA/PROD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 y CI/CD institucionales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SQL Server/SSRS/SSAS/Power BI institucionales ejecutados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HDFS/YARN distribuido sobre infraestructura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certificación funcional con auditores y especialistas de negocio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marcha blanca, transferencia formal y aprobación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ground truth real etiquetado para medir precisión/recall productivos</w:t>
      </w:r>
    </w:p>
    <w:p>
      <w:pPr>
        <w:pStyle w:val="Heading1"/>
        <w:spacing w:after="140" w:before="260"/>
      </w:pPr>
      <w:r>
        <w:t xml:space="preserve">13. Evaluación del Estado del PoC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300"/>
      </w:tblGrid>
      <w:tr>
        <w:trPr>
          <w:cantSplit/>
          <w:tblHeader/>
        </w:trPr>
        <w:tc>
          <w:tcPr>
            <w:tcW w:type="dxa" w:w="35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5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Evaluación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Integridad de datos públicos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 cerrado: Contract → Award → Supplier corregido y probado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favoritismo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Candidato seleccionado con evidencia OOF; AUC-PR 0.671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fraccionamiento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Limitación visible; AUC-PR holdout 0.171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Reproducibilidad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+ Plata/Oro + evidencia JSON + entorno Airflow separado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Gobernanza ML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candidato; promoción humana requerida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Producción institucional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demostrada; requiere infraestructura, datos y certificación CGR</w:t>
            </w:r>
          </w:p>
        </w:tc>
      </w:tr>
    </w:tbl>
    <w:p>
      <w:pPr>
        <w:pStyle w:val="Heading1"/>
        <w:spacing w:after="140" w:before="260"/>
      </w:pPr>
      <w:r>
        <w:t xml:space="preserve">14. Recomendaciones para una Fase Piloto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Conseguir ground truth real etiquetado y acordar definiciones operativas con auditores.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Recalcular precision/recall/AUC-PR con particiones temporales o por entidad/proveedor que reflejen el uso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Calibrar umbrales de priorización según capacidad de revisión y costo de falsos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Versionar reglas normativas con vigencia, fuente oficial y pruebas unitarias.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Desplegar primero en DEV/QA, con auditoría de accesos, linaje y revisión humana obligatoria.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Mantener rankings reales identificables fuera de repositorios públicos y con controles de acceso institucionales.</w:t>
      </w:r>
    </w:p>
    <w:p>
      <w:pPr>
        <w:pStyle w:val="Heading1"/>
        <w:spacing w:after="140" w:before="260"/>
      </w:pPr>
      <w:r>
        <w:t xml:space="preserve">15. Trazabilidad de la Versión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utilizado por la evidencia: 46b503ba67f544ce1bd06479c377d773e565d4bc.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Fuente única documental: outputs/evidencia_documental.json.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de algoritmos: outputs/comparacion_modelos_favoritismo.json.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favoritismo: outputs/tuning_favoritismo_resumen.json.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fraccionamiento: outputs/tuning_fraccionamiento_resumen.json.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OCDS: outputs/validacion_p0_datos_reales.json.</w:t>
      </w:r>
    </w:p>
    <w:p>
      <w:pPr>
        <w:pStyle w:val="Heading1"/>
        <w:spacing w:after="140" w:before="260"/>
      </w:pPr>
      <w:r>
        <w:t xml:space="preserve">16. Conclusión</w:t>
      </w:r>
    </w:p>
    <w:p>
      <w:pPr>
        <w:spacing w:after="140"/>
      </w:pPr>
      <w:r>
        <w:rPr>
          <w:sz w:val="21"/>
          <w:szCs w:val="21"/>
        </w:rPr>
        <w:t xml:space="preserve">El prototipo es hoy más fuerte precisamente porque dejó de presentar resultados perfectos o alcances institucionales no demostrados. La arquitectura y el pipeline son técnicamente defendibles como PoC; el Random Forest es el mejor candidato del benchmark de favoritismo; y el detector de fraccionamiento revela una limitación cuantitativa que debe resolverse con mejor ground truth y calibración. La siguiente etapa razonable es una prueba piloto controlada con datos internos, participación de auditores y gobierno formal del ciclo de vida del modelo.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Reporte Técnico Consolidado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2026-08-08T00:07:32.132Z</dcterms:created>
  <dcterms:modified xsi:type="dcterms:W3CDTF">2026-08-08T00:07:32.132Z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