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1400"/>
      </w:pPr>
    </w:p>
    <w:p>
      <w:pPr>
        <w:jc w:val="center"/>
      </w:pPr>
      <w:r>
        <w:rPr>
          <w:b/>
          <w:bCs/>
          <w:color w:val="1F4E79"/>
          <w:sz w:val="26"/>
          <w:szCs w:val="26"/>
        </w:rPr>
        <w:t xml:space="preserve">PRODUCTO N° 7</w:t>
      </w:r>
    </w:p>
    <w:p>
      <w:pPr>
        <w:spacing w:after="300" w:before="150"/>
        <w:jc w:val="center"/>
      </w:pPr>
      <w:r>
        <w:rPr>
          <w:b/>
          <w:bCs/>
          <w:sz w:val="30"/>
          <w:szCs w:val="30"/>
        </w:rPr>
        <w:t xml:space="preserve">Informe Final</w:t>
      </w:r>
    </w:p>
    <w:p>
      <w:pPr>
        <w:spacing w:after="600"/>
        <w:jc w:val="center"/>
      </w:pPr>
      <w:r>
        <w:rPr>
          <w:i/>
          <w:iCs/>
          <w:sz w:val="21"/>
          <w:szCs w:val="21"/>
        </w:rPr>
        <w:t xml:space="preserve">"Módulo de Análisis de Datos para Dar Soporte a los Auditores Durante la Ejecución de los Servicios de Control" — Proyecto Interno 1.8.2</w:t>
      </w:r>
    </w:p>
    <w:p>
      <w:pPr>
        <w:spacing w:before="700"/>
        <w:jc w:val="center"/>
      </w:pPr>
      <w:r>
        <w:rPr>
          <w:sz w:val="19"/>
          <w:szCs w:val="19"/>
        </w:rPr>
        <w:t xml:space="preserve">Prototipo independiente elaborado como prueba de concepto (proof of concept) — no constituye una postulación formal, una implementación oficial, ni cuenta con aprobación institucional de la CGR</w:t>
      </w:r>
    </w:p>
    <w:p>
      <w:pPr>
        <w:spacing w:before="900"/>
        <w:jc w:val="center"/>
      </w:pPr>
      <w:r>
        <w:rPr>
          <w:b/>
          <w:bCs/>
          <w:sz w:val="18"/>
          <w:szCs w:val="18"/>
        </w:rPr>
        <w:t xml:space="preserve">Repositorio de código fuente:</w:t>
      </w:r>
    </w:p>
    <w:p>
      <w:pPr>
        <w:jc w:val="center"/>
      </w:pPr>
      <w:r>
        <w:rPr>
          <w:color w:val="1F4E79"/>
          <w:sz w:val="18"/>
          <w:szCs w:val="18"/>
        </w:rPr>
        <w:t xml:space="preserve">https://github.com/NoeCalle/cgr-analisis-datos</w:t>
      </w:r>
    </w:p>
    <w:p>
      <w:pPr>
        <w:spacing w:before="1000"/>
        <w:jc w:val="center"/>
      </w:pPr>
      <w:r>
        <w:rPr>
          <w:sz w:val="18"/>
          <w:szCs w:val="18"/>
        </w:rPr>
        <w:t xml:space="preserve">Agosto 2026</w:t>
      </w:r>
    </w:p>
    <w:p>
      <w:pPr>
        <w:sectPr>
          <w:pgSz w:w="11906" w:h="16838" w:orient="portrait"/>
          <w:pgMar w:top="1440" w:right="1440" w:bottom="1440" w:left="1440" w:header="708" w:footer="708" w:gutter="0"/>
          <w:pgNumType/>
          <w:docGrid w:linePitch="360"/>
        </w:sectPr>
      </w:pPr>
    </w:p>
    <w:p>
      <w:pPr>
        <w:pStyle w:val="Heading1"/>
        <w:spacing w:after="140" w:before="260"/>
      </w:pPr>
      <w:r>
        <w:t xml:space="preserve">Resumen Ejecutivo</w:t>
      </w:r>
    </w:p>
    <w:p>
      <w:pPr>
        <w:spacing w:after="140"/>
      </w:pPr>
      <w:r>
        <w:rPr>
          <w:sz w:val="21"/>
          <w:szCs w:val="21"/>
        </w:rPr>
        <w:t xml:space="preserve">El PoC integra un benchmark sintético reproducible y una validación separada de integridad sobre datos públicos OCDS/OECE. La reconstrucción correcta produce 47,254 contratos analíticos a partir de 47,510 contratos crudos, excluyendo 256 registros sin vínculo award/supplier resoluble.</w:t>
      </w:r>
    </w:p>
    <w:p>
      <w:pPr>
        <w:spacing w:after="140"/>
      </w:pPr>
      <w:r>
        <w:rPr>
          <w:sz w:val="21"/>
          <w:szCs w:val="21"/>
        </w:rPr>
        <w:t xml:space="preserve">Nota metodológica: este es un prototipo independiente. Las métricas del benchmark sintético evalúan la coherencia del PoC y no estiman desempeño productivo. Las salidas sobre datos públicos son señales de priorización para revisión de auditor y no constituyen hallazgos ni determinaciones automáticas de irregularidad.</w:t>
      </w:r>
    </w:p>
    <w:p>
      <w:pPr>
        <w:pStyle w:val="Heading1"/>
        <w:spacing w:after="140" w:before="260"/>
      </w:pPr>
      <w:r>
        <w:t xml:space="preserve">1. Resultados Vigentes del Benchmark Sintético</w:t>
      </w:r>
    </w:p>
    <w:tbl>
      <w:tblPr>
        <w:tblW w:type="dxa" w:w="8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5200"/>
      </w:tblGrid>
      <w:tr>
        <w:trPr>
          <w:cantSplit/>
          <w:tblHeader/>
        </w:trPr>
        <w:tc>
          <w:tcPr>
            <w:tcW w:type="dxa" w:w="3600"/>
            <w:shd w:fill="1F4E79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Componente</w:t>
            </w:r>
          </w:p>
        </w:tc>
        <w:tc>
          <w:tcPr>
            <w:tcW w:type="dxa" w:w="5200"/>
            <w:shd w:fill="1F4E79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Resultado vigente</w:t>
            </w:r>
          </w:p>
        </w:tc>
      </w:tr>
      <w:tr>
        <w:trPr>
          <w:cantSplit/>
        </w:trPr>
        <w:tc>
          <w:tcPr>
            <w:tcW w:type="dxa" w:w="3600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Favoritismo — comparación</w:t>
            </w:r>
          </w:p>
        </w:tc>
        <w:tc>
          <w:tcPr>
            <w:tcW w:type="dxa" w:w="5200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Random Forest AUC-PR 0.671; LR 0.621; Gradient Boosting 0.418</w:t>
            </w:r>
          </w:p>
        </w:tc>
      </w:tr>
      <w:tr>
        <w:trPr>
          <w:cantSplit/>
        </w:trPr>
        <w:tc>
          <w:tcPr>
            <w:tcW w:type="dxa" w:w="3600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Favoritismo — tuning</w:t>
            </w:r>
          </w:p>
        </w:tc>
        <w:tc>
          <w:tcPr>
            <w:tcW w:type="dxa" w:w="5200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100 árboles, profundidad 3; AUC-PR CV 0.844</w:t>
            </w:r>
          </w:p>
        </w:tc>
      </w:tr>
      <w:tr>
        <w:trPr>
          <w:cantSplit/>
        </w:trPr>
        <w:tc>
          <w:tcPr>
            <w:tcW w:type="dxa" w:w="3600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Fraccionamiento — holdout</w:t>
            </w:r>
          </w:p>
        </w:tc>
        <w:tc>
          <w:tcPr>
            <w:tcW w:type="dxa" w:w="5200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AUC-ROC 0.856; AUC-PR 0.171; precision 17.6%; F1 0.300</w:t>
            </w:r>
          </w:p>
        </w:tc>
      </w:tr>
    </w:tbl>
    <w:p>
      <w:pPr>
        <w:pStyle w:val="Heading1"/>
        <w:spacing w:after="140" w:before="260"/>
      </w:pPr>
      <w:r>
        <w:t xml:space="preserve">2. Validación de Integridad sobre Datos Públicos OCDS/OECE</w:t>
      </w:r>
    </w:p>
    <w:p>
      <w:pPr>
        <w:pStyle w:val="ListParagraph"/>
        <w:numPr>
          <w:ilvl w:val="0"/>
          <w:numId w:val="1"/>
        </w:numPr>
        <w:spacing w:after="70"/>
      </w:pPr>
      <w:r>
        <w:rPr>
          <w:sz w:val="21"/>
          <w:szCs w:val="21"/>
        </w:rPr>
        <w:t xml:space="preserve">Relación aplicada: Contract(main_ocid, awardID) -&gt; Award(main_ocid, id) -&gt; awards_suppliers(main_ocid, awards_id).</w:t>
      </w:r>
    </w:p>
    <w:p>
      <w:pPr>
        <w:pStyle w:val="ListParagraph"/>
        <w:numPr>
          <w:ilvl w:val="0"/>
          <w:numId w:val="1"/>
        </w:numPr>
        <w:spacing w:after="70"/>
      </w:pPr>
      <w:r>
        <w:rPr>
          <w:sz w:val="21"/>
          <w:szCs w:val="21"/>
        </w:rPr>
        <w:t xml:space="preserve">Contratos analíticos válidos: 47,254.</w:t>
      </w:r>
    </w:p>
    <w:p>
      <w:pPr>
        <w:pStyle w:val="ListParagraph"/>
        <w:numPr>
          <w:ilvl w:val="0"/>
          <w:numId w:val="1"/>
        </w:numPr>
        <w:spacing w:after="70"/>
      </w:pPr>
      <w:r>
        <w:rPr>
          <w:sz w:val="21"/>
          <w:szCs w:val="21"/>
        </w:rPr>
        <w:t xml:space="preserve">Adjudicatarios distintos presentes en contratos: 25,861.</w:t>
      </w:r>
    </w:p>
    <w:p>
      <w:pPr>
        <w:pStyle w:val="ListParagraph"/>
        <w:numPr>
          <w:ilvl w:val="0"/>
          <w:numId w:val="1"/>
        </w:numPr>
        <w:spacing w:after="70"/>
      </w:pPr>
      <w:r>
        <w:rPr>
          <w:sz w:val="21"/>
          <w:szCs w:val="21"/>
        </w:rPr>
        <w:t xml:space="preserve">Entidades distintas: 2,732.</w:t>
      </w:r>
    </w:p>
    <w:p>
      <w:pPr>
        <w:pStyle w:val="ListParagraph"/>
        <w:numPr>
          <w:ilvl w:val="0"/>
          <w:numId w:val="1"/>
        </w:numPr>
        <w:spacing w:after="70"/>
      </w:pPr>
      <w:r>
        <w:rPr>
          <w:sz w:val="21"/>
          <w:szCs w:val="21"/>
        </w:rPr>
        <w:t xml:space="preserve">Categorías OCDS: goods 23,630, services 18,584, works 5,040.</w:t>
      </w:r>
    </w:p>
    <w:p>
      <w:pPr>
        <w:pStyle w:val="ListParagraph"/>
        <w:numPr>
          <w:ilvl w:val="0"/>
          <w:numId w:val="1"/>
        </w:numPr>
        <w:spacing w:after="70"/>
      </w:pPr>
      <w:r>
        <w:rPr>
          <w:sz w:val="21"/>
          <w:szCs w:val="21"/>
        </w:rPr>
        <w:t xml:space="preserve">Monto total procesado en la reconstrucción: S/ 23,082,420,702.60.</w:t>
      </w:r>
    </w:p>
    <w:p>
      <w:pPr>
        <w:spacing w:after="140"/>
      </w:pPr>
      <w:r>
        <w:rPr>
          <w:sz w:val="21"/>
          <w:szCs w:val="21"/>
        </w:rPr>
        <w:t xml:space="preserve">Los rankings reales identificables se mantienen fuera del repositorio público. La evidencia versionada es agregada y auditable.</w:t>
      </w:r>
    </w:p>
    <w:p>
      <w:pPr>
        <w:pStyle w:val="Heading1"/>
        <w:spacing w:after="140" w:before="260"/>
      </w:pPr>
      <w:r>
        <w:t xml:space="preserve">3. Arquitectura y Reproducibilidad</w:t>
      </w:r>
    </w:p>
    <w:p>
      <w:pPr>
        <w:pStyle w:val="ListParagraph"/>
        <w:numPr>
          <w:ilvl w:val="0"/>
          <w:numId w:val="1"/>
        </w:numPr>
        <w:spacing w:after="70"/>
      </w:pPr>
      <w:r>
        <w:rPr>
          <w:sz w:val="21"/>
          <w:szCs w:val="21"/>
        </w:rPr>
        <w:t xml:space="preserve">Airflow orquesta generación → Bronce → preprocesamiento/features → Plata → selección/modelado → Oro → manifiesto.</w:t>
      </w:r>
    </w:p>
    <w:p>
      <w:pPr>
        <w:pStyle w:val="ListParagraph"/>
        <w:numPr>
          <w:ilvl w:val="0"/>
          <w:numId w:val="1"/>
        </w:numPr>
        <w:spacing w:after="70"/>
      </w:pPr>
      <w:r>
        <w:rPr>
          <w:sz w:val="21"/>
          <w:szCs w:val="21"/>
        </w:rPr>
        <w:t xml:space="preserve">Los modelos consumen preferentemente Plata; reporting consume Oro.</w:t>
      </w:r>
    </w:p>
    <w:p>
      <w:pPr>
        <w:pStyle w:val="ListParagraph"/>
        <w:numPr>
          <w:ilvl w:val="0"/>
          <w:numId w:val="1"/>
        </w:numPr>
        <w:spacing w:after="70"/>
      </w:pPr>
      <w:r>
        <w:rPr>
          <w:sz w:val="21"/>
          <w:szCs w:val="21"/>
        </w:rPr>
        <w:t xml:space="preserve">GitHub Actions reconstruye el benchmark, ejecuta pruebas y vuelve a correr la selección/tuning.</w:t>
      </w:r>
    </w:p>
    <w:p>
      <w:pPr>
        <w:pStyle w:val="ListParagraph"/>
        <w:numPr>
          <w:ilvl w:val="0"/>
          <w:numId w:val="1"/>
        </w:numPr>
        <w:spacing w:after="70"/>
      </w:pPr>
      <w:r>
        <w:rPr>
          <w:sz w:val="21"/>
          <w:szCs w:val="21"/>
        </w:rPr>
        <w:t xml:space="preserve">run_manifest.json y evidencia_documental.json separan resultados observados de afirmaciones manuales.</w:t>
      </w:r>
    </w:p>
    <w:p>
      <w:pPr>
        <w:pStyle w:val="ListParagraph"/>
        <w:numPr>
          <w:ilvl w:val="0"/>
          <w:numId w:val="1"/>
        </w:numPr>
        <w:spacing w:after="70"/>
      </w:pPr>
      <w:r>
        <w:rPr>
          <w:sz w:val="21"/>
          <w:szCs w:val="21"/>
        </w:rPr>
        <w:t xml:space="preserve">Delta Lake local demuestra operaciones transaccionales/time travel mientras las versiones estén retenidas; VACUUM puede purgar archivos antiguos.</w:t>
      </w:r>
    </w:p>
    <w:p>
      <w:pPr>
        <w:pStyle w:val="Heading1"/>
        <w:spacing w:after="140" w:before="260"/>
      </w:pPr>
      <w:r>
        <w:t xml:space="preserve">4. Autoevaluación y Gobernanza del Modelo</w:t>
      </w:r>
    </w:p>
    <w:p>
      <w:pPr>
        <w:spacing w:after="140"/>
      </w:pPr>
      <w:r>
        <w:rPr>
          <w:sz w:val="21"/>
          <w:szCs w:val="21"/>
        </w:rPr>
        <w:t xml:space="preserve">La autoevaluación usa PSI y un recall mínimo explícito. Si se activa reentrenamiento, el sistema genera un modelo candidato y lo evalúa en un holdout del lote nuevo que no participó en su entrenamiento. La promoción automática está deshabilitada: requiere revisión/aprobación humana.</w:t>
      </w:r>
    </w:p>
    <w:p>
      <w:pPr>
        <w:pStyle w:val="Heading1"/>
        <w:spacing w:after="140" w:before="260"/>
      </w:pPr>
      <w:r>
        <w:t xml:space="preserve">5. Estado Frente al Entorno Institucional</w:t>
      </w:r>
    </w:p>
    <w:tbl>
      <w:tblPr>
        <w:tblW w:type="dxa" w:w="8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400"/>
        <w:gridCol w:w="4400"/>
      </w:tblGrid>
      <w:tr>
        <w:trPr>
          <w:cantSplit/>
          <w:tblHeader/>
        </w:trPr>
        <w:tc>
          <w:tcPr>
            <w:tcW w:type="dxa" w:w="4400"/>
            <w:shd w:fill="1F4E79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Demostrado en el PoC</w:t>
            </w:r>
          </w:p>
        </w:tc>
        <w:tc>
          <w:tcPr>
            <w:tcW w:type="dxa" w:w="4400"/>
            <w:shd w:fill="1F4E79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Pendiente / dependencia institucional</w:t>
            </w:r>
          </w:p>
        </w:tc>
      </w:tr>
      <w:tr>
        <w:trPr>
          <w:cantSplit/>
        </w:trPr>
        <w:tc>
          <w:tcPr>
            <w:tcW w:type="dxa" w:w="4400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EDA, features, sklearn/Spark local, GraphFrames, Airflow local, Bronce/Plata/Oro local, Delta local, RDL/T-SQL, CI</w:t>
            </w:r>
          </w:p>
        </w:tc>
        <w:tc>
          <w:tcPr>
            <w:tcW w:type="dxa" w:w="4400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Datamart CGR, DEV/QA/PROD, Git/CI institucional, servidores SQL/SSRS/SSAS/Power BI institucionales</w:t>
            </w:r>
          </w:p>
        </w:tc>
      </w:tr>
      <w:tr>
        <w:trPr>
          <w:cantSplit/>
        </w:trPr>
        <w:tc>
          <w:tcPr>
            <w:tcW w:type="dxa" w:w="4400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Validación sintética y OCDS pública</w:t>
            </w:r>
          </w:p>
        </w:tc>
        <w:tc>
          <w:tcPr>
            <w:tcW w:type="dxa" w:w="4400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Ground truth real etiquetado y certificación funcional por auditores</w:t>
            </w:r>
          </w:p>
        </w:tc>
      </w:tr>
      <w:tr>
        <w:trPr>
          <w:cantSplit/>
        </w:trPr>
        <w:tc>
          <w:tcPr>
            <w:tcW w:type="dxa" w:w="4400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Modelo candidato con gate humano</w:t>
            </w:r>
          </w:p>
        </w:tc>
        <w:tc>
          <w:tcPr>
            <w:tcW w:type="dxa" w:w="4400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Proceso institucional de aprobación/promoción y operación en marcha blanca</w:t>
            </w:r>
          </w:p>
        </w:tc>
      </w:tr>
      <w:tr>
        <w:trPr>
          <w:cantSplit/>
        </w:trPr>
        <w:tc>
          <w:tcPr>
            <w:tcW w:type="dxa" w:w="4400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HMS local / Spark local</w:t>
            </w:r>
          </w:p>
        </w:tc>
        <w:tc>
          <w:tcPr>
            <w:tcW w:type="dxa" w:w="4400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HDFS/YARN distribuido sobre infraestructura CGR</w:t>
            </w:r>
          </w:p>
        </w:tc>
      </w:tr>
    </w:tbl>
    <w:p>
      <w:pPr>
        <w:pStyle w:val="Heading1"/>
        <w:spacing w:after="140" w:before="260"/>
      </w:pPr>
      <w:r>
        <w:t xml:space="preserve">6. Conclusiones y Recomendaciones</w:t>
      </w:r>
    </w:p>
    <w:p>
      <w:pPr>
        <w:spacing w:after="140"/>
      </w:pPr>
      <w:r>
        <w:rPr>
          <w:sz w:val="21"/>
          <w:szCs w:val="21"/>
        </w:rPr>
        <w:t xml:space="preserve">El PoC demuestra viabilidad técnica y, tras la segunda auditoría, también hace visibles sus límites. Random Forest es el mejor candidato del benchmark de favoritismo; el detector de fraccionamiento presenta una AUC-PR baja en holdout y no debe presentarse como clasificador de irregularidades. La siguiente fase útil requiere datos reales etiquetados, reglas validadas con auditores y despliegue controlado en el entorno institucional.</w:t>
      </w:r>
    </w:p>
    <w:p>
      <w:pPr>
        <w:pStyle w:val="Heading1"/>
        <w:spacing w:after="140" w:before="260"/>
      </w:pPr>
      <w:r>
        <w:t xml:space="preserve">7. Evidencia y Trazabilidad</w:t>
      </w:r>
    </w:p>
    <w:p>
      <w:pPr>
        <w:pStyle w:val="ListParagraph"/>
        <w:numPr>
          <w:ilvl w:val="0"/>
          <w:numId w:val="1"/>
        </w:numPr>
        <w:spacing w:after="70"/>
      </w:pPr>
      <w:r>
        <w:rPr>
          <w:sz w:val="21"/>
          <w:szCs w:val="21"/>
        </w:rPr>
        <w:t xml:space="preserve">outputs/evidencia_documental.json — fuente única de cifras de estos documentos.</w:t>
      </w:r>
    </w:p>
    <w:p>
      <w:pPr>
        <w:pStyle w:val="ListParagraph"/>
        <w:numPr>
          <w:ilvl w:val="0"/>
          <w:numId w:val="1"/>
        </w:numPr>
        <w:spacing w:after="70"/>
      </w:pPr>
      <w:r>
        <w:rPr>
          <w:sz w:val="21"/>
          <w:szCs w:val="21"/>
        </w:rPr>
        <w:t xml:space="preserve">outputs/comparacion_modelos_favoritismo.json — comparación OOF de candidatos.</w:t>
      </w:r>
    </w:p>
    <w:p>
      <w:pPr>
        <w:pStyle w:val="ListParagraph"/>
        <w:numPr>
          <w:ilvl w:val="0"/>
          <w:numId w:val="1"/>
        </w:numPr>
        <w:spacing w:after="70"/>
      </w:pPr>
      <w:r>
        <w:rPr>
          <w:sz w:val="21"/>
          <w:szCs w:val="21"/>
        </w:rPr>
        <w:t xml:space="preserve">outputs/tuning_favoritismo_resumen.json — configuración de Random Forest.</w:t>
      </w:r>
    </w:p>
    <w:p>
      <w:pPr>
        <w:pStyle w:val="ListParagraph"/>
        <w:numPr>
          <w:ilvl w:val="0"/>
          <w:numId w:val="1"/>
        </w:numPr>
        <w:spacing w:after="70"/>
      </w:pPr>
      <w:r>
        <w:rPr>
          <w:sz w:val="21"/>
          <w:szCs w:val="21"/>
        </w:rPr>
        <w:t xml:space="preserve">outputs/tuning_fraccionamiento_resumen.json — diseño y métricas de holdout.</w:t>
      </w:r>
    </w:p>
    <w:p>
      <w:pPr>
        <w:pStyle w:val="ListParagraph"/>
        <w:numPr>
          <w:ilvl w:val="0"/>
          <w:numId w:val="1"/>
        </w:numPr>
        <w:spacing w:after="70"/>
      </w:pPr>
      <w:r>
        <w:rPr>
          <w:sz w:val="21"/>
          <w:szCs w:val="21"/>
        </w:rPr>
        <w:t xml:space="preserve">outputs/validacion_p0_datos_reales.json — integridad Contract → Award → Supplier y conteos OCDS.</w:t>
      </w:r>
    </w:p>
    <w:p>
      <w:pPr>
        <w:pStyle w:val="ListParagraph"/>
        <w:numPr>
          <w:ilvl w:val="0"/>
          <w:numId w:val="1"/>
        </w:numPr>
        <w:spacing w:after="70"/>
      </w:pPr>
      <w:r>
        <w:rPr>
          <w:sz w:val="21"/>
          <w:szCs w:val="21"/>
        </w:rPr>
        <w:t xml:space="preserve">Commit de evidencia: 46b503ba67f544ce1bd06479c377d773e565d4bc.</w:t>
      </w:r>
    </w:p>
    <w:sectPr>
      <w:headerReference w:type="default" r:id="rId7"/>
      <w:footerReference w:type="default" r:id="rId8"/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right"/>
    </w:pPr>
    <w:r>
      <w:rPr>
        <w:sz w:val="17"/>
        <w:szCs w:val="17"/>
      </w:rPr>
      <w:t xml:space="preserve">Página </w:t>
    </w:r>
    <w:r>
      <w:rPr>
        <w:sz w:val="17"/>
        <w:szCs w:val="17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color w:val="888888"/>
        <w:sz w:val="15"/>
        <w:szCs w:val="15"/>
      </w:rPr>
      <w:t xml:space="preserve">Informe Final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2026-08-08T00:07:31.809Z</dcterms:created>
  <dcterms:modified xsi:type="dcterms:W3CDTF">2026-08-08T00:07:31.809Z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