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INFORME FINAL / REPORTE TÉCNICO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Informe Final Técnico Consolidado del Prototipo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791_3839441660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Módulo de Análisis de Datos implementa una arquitectura reproducible para integrar información contractual, validar su calidad, construir señales de posible favoritismo y fraccionamiento, analizar vínculos y pagos, y priorizar casos para revisión humana. El perfil operacional utiliza Apache Spark MLlib: Random Forest para favoritismo y StandardScaler + KMeans + distancia al centroide para fraccionamiento. La selección/evaluación de ambos modelos está separada de TRAIN, la promoción es explícita, INFERENCE no reentrena y el monitor se liga al champion activo.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Las implementaciones sklearn se mantienen como benchmarks metodológicos y soporte de explicabilidad; no se presentan como los modelos servidos. Las métricas sintéticas verifican consistencia del pipeline y no constituyen estimaciones de desempeño productivo. Las salidas son señales de priorización y no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791_3839441660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793_3839441660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795_3839441660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797_3839441660">
            <w:r>
              <w:rPr>
                <w:rStyle w:val="IndexLink"/>
              </w:rPr>
              <w:t>Lista de Abreviaturas y Acrónimos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799_3839441660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01_3839441660">
            <w:r>
              <w:rPr>
                <w:rStyle w:val="IndexLink"/>
              </w:rPr>
              <w:t>1. Introducción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03_3839441660">
            <w:r>
              <w:rPr>
                <w:rStyle w:val="IndexLink"/>
              </w:rPr>
              <w:t>2. Objetivo de Consultoría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05_3839441660">
            <w:r>
              <w:rPr>
                <w:rStyle w:val="IndexLink"/>
              </w:rPr>
              <w:t>3. Productos Alcanzados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07_3839441660">
            <w:r>
              <w:rPr>
                <w:rStyle w:val="IndexLink"/>
              </w:rPr>
              <w:t>3.1 Arquitectura de la herramienta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09_3839441660">
            <w:r>
              <w:rPr>
                <w:rStyle w:val="IndexLink"/>
              </w:rPr>
              <w:t>3.2 Contrato de datos y preprocesamiento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11_3839441660">
            <w:r>
              <w:rPr>
                <w:rStyle w:val="IndexLink"/>
              </w:rPr>
              <w:t>3.3 Modelos operacionales Spark MLlib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13_3839441660">
            <w:r>
              <w:rPr>
                <w:rStyle w:val="IndexLink"/>
              </w:rPr>
              <w:t>3.4 Benchmarks complementarios e interpretabilidad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15_3839441660">
            <w:r>
              <w:rPr>
                <w:rStyle w:val="IndexLink"/>
              </w:rPr>
              <w:t>3.5 Evaluación, fingerprint y TRAIN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17_3839441660">
            <w:r>
              <w:rPr>
                <w:rStyle w:val="IndexLink"/>
              </w:rPr>
              <w:t>3.6 TRAIN, candidate, champion e INFERENCE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19_3839441660">
            <w:r>
              <w:rPr>
                <w:rStyle w:val="IndexLink"/>
              </w:rPr>
              <w:t>3.7 Monitoreo y mantenimiento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21_3839441660">
            <w:r>
              <w:rPr>
                <w:rStyle w:val="IndexLink"/>
              </w:rPr>
              <w:t>3.8 GraphFrames y vínculos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23_3839441660">
            <w:r>
              <w:rPr>
                <w:rStyle w:val="IndexLink"/>
              </w:rPr>
              <w:t>3.9 Datos públicos OCDS/OECE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25_3839441660">
            <w:r>
              <w:rPr>
                <w:rStyle w:val="IndexLink"/>
              </w:rPr>
              <w:t>3.10 Airflow, reporting y documentación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27_3839441660">
            <w:r>
              <w:rPr>
                <w:rStyle w:val="IndexLink"/>
              </w:rPr>
              <w:t>3.11 Estado frente al TDR y dependencias institucionales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29_3839441660">
            <w:r>
              <w:rPr>
                <w:rStyle w:val="IndexLink"/>
              </w:rPr>
              <w:t>4. Conclusiones y Recomendaciones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31_3839441660">
            <w:r>
              <w:rPr>
                <w:rStyle w:val="IndexLink"/>
              </w:rPr>
              <w:t>5. Anexos</w:t>
              <w:tab/>
              <w:t>10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33_3839441660">
            <w:r>
              <w:rPr>
                <w:rStyle w:val="IndexLink"/>
              </w:rPr>
              <w:t>ANEXO TÉCNICO — PAGOS, MODALIDADES Y ARQUITECTURA OPERACIONAL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35_3839441660">
            <w:r>
              <w:rPr>
                <w:rStyle w:val="IndexLink"/>
              </w:rPr>
              <w:t>Resultados reproducibles de pagos y modalidades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37_3839441660">
            <w:r>
              <w:rPr>
                <w:rStyle w:val="IndexLink"/>
              </w:rPr>
              <w:t>Distribución de pagos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39_3839441660">
            <w:r>
              <w:rPr>
                <w:rStyle w:val="IndexLink"/>
              </w:rPr>
              <w:t>Modalidades por régimen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41_3839441660">
            <w:r>
              <w:rPr>
                <w:rStyle w:val="IndexLink"/>
              </w:rPr>
              <w:t>Arquitectura operacional Spark-native</w:t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43_3839441660">
            <w:r>
              <w:rPr>
                <w:rStyle w:val="IndexLink"/>
              </w:rPr>
              <w:t>Limitación institucional</w:t>
              <w:tab/>
              <w:t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45_3839441660">
            <w:r>
              <w:rPr>
                <w:rStyle w:val="IndexLink"/>
              </w:rPr>
              <w:t>Referencias Bibliográficas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793_3839441660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Arquitectura y decisiones principales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Modelos operacionales y métricas holdout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3. Comparación metodológica sklearn de favoritismo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4. Benchmark complementario Isolation Forest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5. Validación OCDS/OECE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6. MLOps, monitoreo y seguridad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7. Estado frente a dependencias institucionales</w:t>
      </w:r>
    </w:p>
    <w:p>
      <w:pPr>
        <w:pStyle w:val="Heading1"/>
        <w:spacing w:lineRule="exact" w:line="240" w:before="240" w:after="120"/>
        <w:rPr/>
      </w:pPr>
      <w:bookmarkStart w:id="2" w:name="__RefHeading___Toc795_3839441660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Diagrama del modelo de datos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Importancia de variables de favoritismo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3. Señales de posible fraccionamiento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4. Red proveedor-funcionario sintética</w:t>
      </w:r>
    </w:p>
    <w:p>
      <w:pPr>
        <w:pStyle w:val="Heading1"/>
        <w:spacing w:lineRule="exact" w:line="240" w:before="240" w:after="120"/>
        <w:rPr/>
      </w:pPr>
      <w:bookmarkStart w:id="3" w:name="__RefHeading___Toc797_3839441660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799_3839441660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801_3839441660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documentación técnica se organiza alrededor del estado vigente de la herramienta: qué problema resuelve, qué contrato de datos utiliza, qué modelos sirve, cómo se evalúan, cómo se promueven y qué controles evitan leakage, train-serving skew o publicación de resultados con artefactos inconsistentes. El historial de correcciones se conserva en Git y pull requests; no es necesario para comprender la arquitectura actual.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repositorio no utiliza accesos internos CGR. Las fuentes, ground truth, identidades, clúster, DEV/QA/PROD, SQL Server/SSRS real, criterios de aceptación, certificación, marcha blanca y transferencia formal permanecen como dependencias institucionales.</w:t>
      </w:r>
    </w:p>
    <w:p>
      <w:pPr>
        <w:pStyle w:val="Heading1"/>
        <w:spacing w:lineRule="exact" w:line="240" w:before="240" w:after="120"/>
        <w:rPr/>
      </w:pPr>
      <w:bookmarkStart w:id="6" w:name="__RefHeading___Toc803_3839441660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establece como objetivo disponer datos procesados y filtrados de fuentes externas e internas y desarrollar modelos de Machine Learning para identificar casos atípicos y patrones de riesgo relevantes para la labor del auditor. El presente informe documenta cómo ese objetivo se implementa en un prototipo independiente, reproducible y preparado para integración institucional sin atribuirle aprobación CGR.</w:t>
      </w:r>
    </w:p>
    <w:p>
      <w:pPr>
        <w:pStyle w:val="Heading1"/>
        <w:spacing w:lineRule="exact" w:line="240" w:before="240" w:after="120"/>
        <w:rPr/>
      </w:pPr>
      <w:bookmarkStart w:id="7" w:name="__RefHeading___Toc805_3839441660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807_3839441660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Arquitectura de la herramienta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Las fuentes se desacoplan mediante conectores y mappings YAML hacia un esquema canónico. Después del mapping/casteo se ejecutan quality gates antes de feature engineering. TRAIN ajusta y congela el preprocesador; INFERENCE reutiliza ese estado sin FIT. El model registry separa perfiles sklearn y spark_mllib, y el perfil operacional objetivo es spark_mllib.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Arquitectura y decisiones principales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999"/>
        <w:gridCol w:w="5800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Decisión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Fundamento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Esquema canónico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Evita acoplar modelos a nombres físicos de tablas/columnas.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Quality gates antes del modelado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Impiden que duplicados, claves rotas o montos inválidos generen señales artificiales.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FIT solo en TRAIN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Evita train-serving skew y mantiene inferencia reproducible.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monto_capped en favoritismo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Limita influencia de extremos mediante P99 aprendido solo en TRAIN.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Monto original en fraccionamiento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Preserva la semántica de comparación con cuantías normativas.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spark_sql distribuido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Evita materializar el corpus contractual en pandas/driver.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Promoción separada de TRAIN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Impide que entrenar cambie serving automáticamente.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Champion store versionado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Permite verificar conjuntos completos y ejecutar rollback explícito.</w:t>
            </w:r>
          </w:p>
        </w:tc>
      </w:tr>
    </w:tbl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Diagrama del modelo de datos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429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9" w:name="__RefHeading___Toc809_3839441660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Contrato de datos y preprocesamiento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contrato canónico soporta contracts, suppliers, entities, officials y payments. INFERENCE exige los atributos estructurales de contracts, pero no labels. TRAIN añade label_favoritismo y label_fraccionamiento. El preprocesador aprende medianas, modas y P99 durante TRAIN y se congela para serving.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Contratación Directa y Comparación de Precios se modelan como variables separadas.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Favoritismo agrega señales por proveedor-entidad.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Fraccionamiento agrega por proveedor-entidad-objeto_familia.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objeto_familia aplica normalización lexical conservadora y auditable.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Cantidad y monto de la ventana de 15 días proceden del mismo intervalo seleccionado.</w:t>
      </w:r>
    </w:p>
    <w:p>
      <w:pPr>
        <w:pStyle w:val="Heading2"/>
        <w:spacing w:lineRule="exact" w:line="240" w:before="180" w:after="80"/>
        <w:rPr/>
      </w:pPr>
      <w:bookmarkStart w:id="10" w:name="__RefHeading___Toc811_3839441660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Modelos operacionales Spark MLlib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2. Modelos operacionales y métricas holdout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200"/>
        <w:gridCol w:w="2200"/>
        <w:gridCol w:w="899"/>
        <w:gridCol w:w="900"/>
        <w:gridCol w:w="901"/>
        <w:gridCol w:w="900"/>
        <w:gridCol w:w="899"/>
        <w:gridCol w:w="900"/>
      </w:tblGrid>
      <w:tr>
        <w:trPr>
          <w:tblHeader w:val="true"/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Caso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Modelo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Recall@K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Favoritismo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RandomForest (numTrees=100, maxDepth=3)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Fraccionamiento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StandardScaler + KMeans (k=3)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0.323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0.875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Favoritismo reserva 591 pares para holdout antes del FIT del preprocesador y usa AUC-PR como métrica primaria por desbalance. Fraccionamiento reserva 62 grupos; KMeans se ajusta sin labels y las etiquetas se usan para seleccionar/evaluar la capacidad de priorización del ranking.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Las métricas anteriores corresponden al benchmark sintético/local de la evidencia vigente. Deben utilizarse para verificar el método y el pipeline, no para afirmar precisión sobre expedientes institucionales.</w:t>
      </w:r>
    </w:p>
    <w:p>
      <w:pPr>
        <w:pStyle w:val="Heading2"/>
        <w:spacing w:lineRule="exact" w:line="240" w:before="180" w:after="80"/>
        <w:rPr/>
      </w:pPr>
      <w:bookmarkStart w:id="11" w:name="__RefHeading___Toc813_3839441660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3.4 Benchmarks complementarios e interpretabilidad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3. Comparación metodológica sklearn de favoritismo</w:t>
      </w:r>
    </w:p>
    <w:tbl>
      <w:tblPr>
        <w:tblW w:w="87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200"/>
        <w:gridCol w:w="1300"/>
        <w:gridCol w:w="1299"/>
        <w:gridCol w:w="1300"/>
        <w:gridCol w:w="1301"/>
        <w:gridCol w:w="1299"/>
      </w:tblGrid>
      <w:tr>
        <w:trPr>
          <w:tblHeader w:val="true"/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Modelo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F1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Random Forest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0.991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100.0%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90.9%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0.952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Regresión Logística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0.751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55.3%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95.5%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0.700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Gradient Boosting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0.911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0.945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100.0%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90.9%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0.952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comparación sklearn no define el champion; se conserva para contrastar familias de modelos y para evidencia SHAP. La Feature Importance del Random Forest Spark es la explicación directamente ligada al modelo servido.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2. Importancia de variables de favoritismo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4. Benchmark complementario Isolation Forest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4400"/>
        <w:gridCol w:w="4399"/>
      </w:tblGrid>
      <w:tr>
        <w:trPr>
          <w:tblHeader w:val="true"/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Elemento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Rol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sklearn de compatibilidad; no es el modelo servido.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0.133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0.659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F1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0.000</w:t>
            </w:r>
          </w:p>
        </w:tc>
      </w:tr>
    </w:tbl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3. Señales de posible fraccionamiento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12" w:name="__RefHeading___Toc815_3839441660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3.5 Evaluación, fingerprint y TRAIN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Los evaluadores Spark registran el fingerprint SHA-256 del corpus canónico. TRAIN exige que las evidencias de favoritismo y fraccionamiento correspondan al mismo fingerprint. La selección ocurre en desarrollo y el holdout final no se utiliza para reconfigurar el modelo.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Cuando source.type=spark_sql, la evaluación dispone de ruta distribuida: integrar_spark, split, FIT/TRANSFORM, features y métricas permanecen en Spark. Las observaciones no se materializan con toPandas. Este contrato permite que la evidencia requerida por TRAIN exista también sobre un corpus Spark institucional.</w:t>
      </w:r>
    </w:p>
    <w:p>
      <w:pPr>
        <w:pStyle w:val="Heading2"/>
        <w:spacing w:lineRule="exact" w:line="240" w:before="180" w:after="80"/>
        <w:rPr/>
      </w:pPr>
      <w:bookmarkStart w:id="13" w:name="__RefHeading___Toc817_3839441660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3.6 TRAIN, candidate, champion e INFERENCE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TRAIN produce un candidate y no cambia el champion. La promoción valida rutas y hashes, publica un conjunto versionado y actualiza el registry solo después del gate de integridad. INFERENCE verifica el champion antes del scoring y antes de publicar; los rankings se generan inicialmente en staging.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INFERENCE no consume labels.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INFERENCE no ejecuta FIT, training ni tuning.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promoción técnica del PoC no equivale a aprobación institucional.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El registry conserva historial para rollback explícito.</w:t>
      </w:r>
    </w:p>
    <w:p>
      <w:pPr>
        <w:pStyle w:val="Heading2"/>
        <w:spacing w:lineRule="exact" w:line="240" w:before="180" w:after="80"/>
        <w:rPr/>
      </w:pPr>
      <w:bookmarkStart w:id="14" w:name="__RefHeading___Toc819_3839441660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3.7 Monitoreo y mantenimiento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5. MLOps, monitoreo y seguridad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999"/>
        <w:gridCol w:w="5800"/>
      </w:tblGrid>
      <w:tr>
        <w:trPr>
          <w:tblHeader w:val="true"/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Comportamiento vigente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Champion monitorizado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El monitor lee el perfil spark_mllib activo del registry.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Drift favoritismo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 sobre features seleccionadas.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Drift fraccionamiento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 de features y distribución de score_anomalia.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Desempeño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 cuando existen labels válidos.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Reentrenamiento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Puede generar candidate; no existe autopromoción.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Integridad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SHA-256 de candidate/champion y verificación antes/después de inference.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Tests no privilegiados separados del job con escritura persistente.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Datos reales</w:t>
            </w:r>
          </w:p>
        </w:tc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Rankings identificables y datasets crudos fuera del repositorio público.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resumen de monitoreo mantiene automatic_promotion=false. Un lote sin labels puede aportar evidencia de drift, pero no debe convertirse automáticamente en ground truth.</w:t>
      </w:r>
    </w:p>
    <w:p>
      <w:pPr>
        <w:pStyle w:val="Heading2"/>
        <w:spacing w:lineRule="exact" w:line="240" w:before="180" w:after="80"/>
        <w:rPr/>
      </w:pPr>
      <w:bookmarkStart w:id="15" w:name="__RefHeading___Toc821_3839441660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3.8 GraphFrames y vínculos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herramienta incorpora NetworkX/GraphFrames para representar relaciones proveedor-funcionario cuando las variables necesarias están disponibles. La evidencia pública utiliza datos sintéticos para no afirmar vínculos institucionales no observados.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4. Red proveedor-funcionario sintética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9052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Evidencia GraphFrames registrada: 280 vértices y 3130 aristas.</w:t>
      </w:r>
    </w:p>
    <w:p>
      <w:pPr>
        <w:pStyle w:val="Heading2"/>
        <w:spacing w:lineRule="exact" w:line="240" w:before="180" w:after="80"/>
        <w:rPr/>
      </w:pPr>
      <w:bookmarkStart w:id="16" w:name="__RefHeading___Toc823_3839441660"/>
      <w:bookmarkEnd w:id="16"/>
      <w:r>
        <w:rPr>
          <w:rFonts w:eastAsia="Arial" w:cs="Arial"/>
          <w:b/>
          <w:bCs/>
          <w:color w:val="000000"/>
          <w:sz w:val="22"/>
          <w:szCs w:val="22"/>
        </w:rPr>
        <w:t>3.9 Datos públicos OCDS/OECE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prueba con datos abiertos utiliza la relación Contract(main_ocid, awardID) -&gt; Award(main_ocid, id) -&gt; awards_suppliers(main_ocid, awards_id), porque el adjudicatario debe resolverse respecto de la adjudicación vinculada al contrato.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6. Validación OCDS/OECE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5199"/>
        <w:gridCol w:w="3600"/>
      </w:tblGrid>
      <w:tr>
        <w:trPr>
          <w:tblHeader w:val="true"/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Indicador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>
        <w:trPr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Contratos crudos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47,510</w:t>
            </w:r>
          </w:p>
        </w:tc>
      </w:tr>
      <w:tr>
        <w:trPr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Contratos analíticos con award/supplier resoluble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47,254</w:t>
            </w:r>
          </w:p>
        </w:tc>
      </w:tr>
      <w:tr>
        <w:trPr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Excluidos sin relación resoluble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256</w:t>
            </w:r>
          </w:p>
        </w:tc>
      </w:tr>
      <w:tr>
        <w:trPr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Adjudicatarios distintos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25,861</w:t>
            </w:r>
          </w:p>
        </w:tc>
      </w:tr>
      <w:tr>
        <w:trPr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Entidades distintas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2,732</w:t>
            </w:r>
          </w:p>
        </w:tc>
      </w:tr>
      <w:tr>
        <w:trPr>
          <w:cantSplit w:val="true"/>
        </w:trPr>
        <w:tc>
          <w:tcPr>
            <w:tcW w:w="5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Rango de fechas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2018-09-18 a 2024-11-08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 evidencia reproducible contiene 47,254 contratos analíticos válidos. Como no existen etiquetas institucionales de favoritismo/fraccionamiento, esta prueba verifica portabilidad de features y reglas, pero no valida el champion.</w:t>
      </w:r>
    </w:p>
    <w:p>
      <w:pPr>
        <w:pStyle w:val="Heading2"/>
        <w:spacing w:lineRule="exact" w:line="240" w:before="180" w:after="80"/>
        <w:rPr/>
      </w:pPr>
      <w:bookmarkStart w:id="17" w:name="__RefHeading___Toc825_3839441660"/>
      <w:bookmarkEnd w:id="17"/>
      <w:r>
        <w:rPr>
          <w:rFonts w:eastAsia="Arial" w:cs="Arial"/>
          <w:b/>
          <w:bCs/>
          <w:color w:val="000000"/>
          <w:sz w:val="22"/>
          <w:szCs w:val="22"/>
        </w:rPr>
        <w:t>3.10 Airflow, reporting y documentación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DAGs separados para reproducibilidad, TRAIN, INFERENCE y monitoreo.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TRAIN/INFERENCE aceptan master Spark configurable; spark_sql mantiene DataFrame Spark hasta Parquet distribuido.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SQL Server/SSRS se entrega como contrato DDL, vistas, roles de referencia y RDL con Shared Data Source.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Los Productos 1-7 y este informe se generan desde evidencia machine-readable.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Diccionario, linaje, run manifest, model registry y auditorías completan la trazabilidad.</w:t>
      </w:r>
    </w:p>
    <w:p>
      <w:pPr>
        <w:pStyle w:val="Heading2"/>
        <w:spacing w:lineRule="exact" w:line="240" w:before="180" w:after="80"/>
        <w:rPr/>
      </w:pPr>
      <w:bookmarkStart w:id="18" w:name="__RefHeading___Toc827_3839441660"/>
      <w:bookmarkEnd w:id="18"/>
      <w:r>
        <w:rPr>
          <w:rFonts w:eastAsia="Arial" w:cs="Arial"/>
          <w:b/>
          <w:bCs/>
          <w:color w:val="000000"/>
          <w:sz w:val="22"/>
          <w:szCs w:val="22"/>
        </w:rPr>
        <w:t>3.11 Estado frente al TDR y dependencias institucionales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7. Estado frente a dependencias institucionales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3799"/>
        <w:gridCol w:w="5000"/>
      </w:tblGrid>
      <w:tr>
        <w:trPr>
          <w:tblHeader w:val="true"/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Área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EDA, calidad, preprocesamiento y feature engineering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Implementado y reproducible.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Favoritismo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Random Forest Spark con CV/tuning/holdout propios.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Fraccionamiento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KMeans Spark con selección/holdout propios + señal interpretable.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distribuida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spark_sql Spark-native; performance productiva pendiente de clúster real.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GraphFrames reproducible con escenario sintético.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MLOps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Candidate/champion, hashes, promoción explícita, rollback e inference sin retraining.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Reporting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Contrato SQL Server/SSRS preparado; despliegue institucional pendiente.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Seguridad/DEV/QA/PROD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Controles de repo implementados; identidad/infraestructura real pendiente.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 y umbrales productivos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Dependencia institucional.</w:t>
            </w:r>
          </w:p>
        </w:tc>
      </w:tr>
      <w:tr>
        <w:trPr>
          <w:cantSplit w:val="true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Certificación, marcha blanca y transferencia formal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Dependencia institucional.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Las dependencias institucionales se mantienen explícitas para evitar que un PoC reproducible sea presentado como una implantación productiva certificada.</w:t>
      </w:r>
    </w:p>
    <w:p>
      <w:pPr>
        <w:pStyle w:val="Heading1"/>
        <w:spacing w:lineRule="exact" w:line="240" w:before="240" w:after="120"/>
        <w:rPr/>
      </w:pPr>
      <w:bookmarkStart w:id="19" w:name="__RefHeading___Toc829_3839441660"/>
      <w:bookmarkEnd w:id="19"/>
      <w:r>
        <w:rPr>
          <w:rFonts w:eastAsia="Arial" w:cs="Arial"/>
          <w:b/>
          <w:bCs/>
          <w:color w:val="000000"/>
          <w:sz w:val="22"/>
          <w:szCs w:val="22"/>
        </w:rPr>
        <w:t>4.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resultado es una herramienta de priorización con contratos técnicos claros: esquema canónico, quality gates, preprocesamiento congelado, modelos Spark evaluados con holdout independiente, evidence fingerprinting, candidate/champion separados, promoción explícita, inference sin training, monitoreo registry-aware y reporting desacoplado de infraestructura. La documentación principal explica estas decisiones y su fundamento, mientras el historial de desarrollo queda relegado a Git/PR y notas de release.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Para una adopción institucional se recomienda mantener intacta la separación evaluación/TRAIN/promoción/INFERENCE, ejecutar evaluación sobre el mismo corpus real que alimentará TRAIN, definir ground truth y criterios de aceptación con auditores, y validar capacidad, seguridad, observabilidad y reporting en DEV/QA/PROD antes de cualquier marcha blanca.</w:t>
      </w:r>
    </w:p>
    <w:p>
      <w:pPr>
        <w:pStyle w:val="Heading1"/>
        <w:spacing w:lineRule="exact" w:line="240" w:before="240" w:after="120"/>
        <w:rPr/>
      </w:pPr>
      <w:bookmarkStart w:id="20" w:name="__RefHeading___Toc831_3839441660"/>
      <w:bookmarkEnd w:id="20"/>
      <w:r>
        <w:rPr>
          <w:rFonts w:eastAsia="Arial" w:cs="Arial"/>
          <w:b/>
          <w:bCs/>
          <w:color w:val="000000"/>
          <w:sz w:val="22"/>
          <w:szCs w:val="22"/>
        </w:rPr>
        <w:t>5. Anexos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README.md — descripción funcional y decisiones de diseño.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docs/Arquitectura_MLOps.md — model lifecycle, registry, promotion y rollback.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docs/Evaluacion_Spark_y_Performance.md — evaluación distribuida y límites de performance.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docs/Seguridad_y_Gobernanza.md — seguridad y controles demostrables.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docs/Integracion_Datos.md — contrato de fuentes y mappings.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docs/Auditoria_TDR_Completo.md — matriz de evidencia frente al TDR.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docs/Dependencias_Institucionales_CGR.md — dependencias de cierre institucional.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outputs/model_registry.json — perfil activo, champion y artefactos.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outputs/run_manifest.json y outputs/linaje_datos.csv — trazabilidad reproducible.</w:t>
      </w:r>
    </w:p>
    <w:p>
      <w:pPr>
        <w:pStyle w:val="Heading1"/>
        <w:spacing w:lineRule="auto" w:line="240" w:before="240" w:after="60"/>
        <w:rPr/>
      </w:pPr>
      <w:bookmarkStart w:id="21" w:name="__RefHeading___Toc833_3839441660"/>
      <w:bookmarkEnd w:id="21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22" w:name="__RefHeading___Toc835_3839441660"/>
      <w:bookmarkEnd w:id="22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23" w:name="__RefHeading___Toc837_3839441660"/>
      <w:bookmarkEnd w:id="23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4" w:name="__RefHeading___Toc839_3839441660"/>
      <w:bookmarkEnd w:id="24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5" w:name="__RefHeading___Toc841_3839441660"/>
      <w:bookmarkEnd w:id="25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6" w:name="__RefHeading___Toc843_3839441660"/>
      <w:bookmarkEnd w:id="26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7" w:name="__RefHeading___Toc845_3839441660"/>
      <w:bookmarkEnd w:id="27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11"/>
      <w:footerReference w:type="default" r:id="rId12"/>
      <w:footerReference w:type="first" r:id="rId1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Informe Final Técnico Consolidado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2370</Words>
  <Characters>15691</Characters>
  <CharactersWithSpaces>17712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2026-10-12T18:58:00Z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2026-10-12T18:58:02Z</dcterms:modified>
  <cp:revision>2</cp:revision>
  <dc:subject/>
  <dc:title>Informe Final Técnico Consolidado - Prototipo independiente CGR 1.8.2</dc:title>
</cp:coreProperties>
</file>