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1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Plan de Trabajo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1323_3839441660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25_3839441660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27_3839441660">
            <w:r>
              <w:rPr>
                <w:rStyle w:val="IndexLink"/>
              </w:rPr>
              <w:t>Glosario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29_3839441660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31_3839441660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33_3839441660">
            <w:r>
              <w:rPr>
                <w:rStyle w:val="IndexLink"/>
              </w:rPr>
              <w:t>3. Productos a Alcanzar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35_3839441660">
            <w:r>
              <w:rPr>
                <w:rStyle w:val="IndexLink"/>
              </w:rPr>
              <w:t>4. Actividades a Cumplir por Cada Producto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37_3839441660">
            <w:r>
              <w:rPr>
                <w:rStyle w:val="IndexLink"/>
              </w:rPr>
              <w:t>5. Cronograma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39_3839441660">
            <w:r>
              <w:rPr>
                <w:rStyle w:val="IndexLink"/>
              </w:rPr>
              <w:t>6. Anexos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41_3839441660">
            <w:r>
              <w:rPr>
                <w:rStyle w:val="IndexLink"/>
              </w:rPr>
              <w:t>ANEXO TÉCNICO — PAGOS, MODALIDADES Y ARQUITECTURA OPERACIONAL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43_3839441660">
            <w:r>
              <w:rPr>
                <w:rStyle w:val="IndexLink"/>
              </w:rPr>
              <w:t>Resultados reproducibles de pagos y modalidades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45_3839441660">
            <w:r>
              <w:rPr>
                <w:rStyle w:val="IndexLink"/>
              </w:rPr>
              <w:t>Distribución de pagos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47_3839441660">
            <w:r>
              <w:rPr>
                <w:rStyle w:val="IndexLink"/>
              </w:rPr>
              <w:t>Modalidades por régimen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49_3839441660">
            <w:r>
              <w:rPr>
                <w:rStyle w:val="IndexLink"/>
              </w:rPr>
              <w:t>Arquitectura operacional Spark-native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1351_3839441660">
            <w:r>
              <w:rPr>
                <w:rStyle w:val="IndexLink"/>
              </w:rPr>
              <w:t>Limitación institucional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1353_3839441660">
            <w:r>
              <w:rPr>
                <w:rStyle w:val="IndexLink"/>
              </w:rPr>
              <w:t>Referencias Bibliográficas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0" w:name="__RefHeading___Toc1323_3839441660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Productos y propósito técnico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Actividades principales por producto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3. Cronograma contractual de referencia</w:t>
      </w:r>
    </w:p>
    <w:p>
      <w:pPr>
        <w:pStyle w:val="Heading1"/>
        <w:spacing w:lineRule="exact" w:line="240" w:before="240" w:after="120"/>
        <w:rPr/>
      </w:pPr>
      <w:bookmarkStart w:id="1" w:name="__RefHeading___Toc1325_3839441660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2" w:name="__RefHeading___Toc1327_3839441660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3" w:name="__RefHeading___Toc1329_3839441660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plan organiza una prueba de concepto independiente basada en el TDR público del Proyecto Interno 1.8.2. El trabajo se estructura por contratos técnicos verificables: integración canónica, calidad de datos, feature engineering, evaluación, modelos Spark MLlib, grafos, TRAIN/INFERENCE, monitoreo, trazabilidad y reporting. Las actividades que requieren accesos, infraestructura o conformidad CGR se mantienen como dependencias institucionales.</w:t>
      </w:r>
    </w:p>
    <w:p>
      <w:pPr>
        <w:pStyle w:val="Heading1"/>
        <w:spacing w:lineRule="exact" w:line="240" w:before="240" w:after="120"/>
        <w:rPr/>
      </w:pPr>
      <w:bookmarkStart w:id="4" w:name="__RefHeading___Toc1331_3839441660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5" w:name="__RefHeading___Toc1333_3839441660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3. Productos a Alcanzar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Productos y propósito técnico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699"/>
        <w:gridCol w:w="3001"/>
        <w:gridCol w:w="5100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N.°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Producto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Propósito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Plan de Trabajo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Metodología, actividades, cronograma y criterios de evidencia.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Preprocesamiento - Favoritismo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Calidad, limpieza, estado FIT/TRANSFORM y features proveedor-entidad.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Modelo - Favoritismo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Selección metodológica, Random Forest Spark MLlib e interpretabilidad.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Entrenamiento/Validación - Favoritismo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CV, tuning, holdout, candidate/champion y métricas.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Preprocesamiento - Fraccionamiento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Objeto-familia, ventanas coherentes y contexto normativo.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6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Modelo - Fraccionamiento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KMeans Spark, distancia al centroide, holdout y señal interpretable.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7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Informe Final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Integración, MLOps, monitoreo, reporting, seguridad y ruta institucional.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6" w:name="__RefHeading___Toc1335_3839441660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4. Actividades a Cumplir por Cada Producto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Actividades principales por producto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200"/>
        <w:gridCol w:w="7599"/>
      </w:tblGrid>
      <w:tr>
        <w:trPr>
          <w:tblHeader w:val="true"/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Producto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Actividades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Definir alcance, evidencia, dependencias y criterios de aceptación verificables.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Integrar datos, aplicar quality gates, ajustar preprocesador y construir features de favoritismo.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3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Comparar algoritmos, justificar Random Forest y ejecutar implementación Apache Spark MLlib.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4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Reservar holdout antes del FIT, ejecutar CV/tuning, documentar métricas y persistencia.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5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Normalizar objetos, construir ventanas de 15 días y resolver referencias normativas.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6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Seleccionar k en desarrollo, evaluar KMeans en holdout y conservar benchmark complementario.</w:t>
            </w:r>
          </w:p>
        </w:tc>
      </w:tr>
      <w:tr>
        <w:trPr>
          <w:cantSplit w:val="true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7</w:t>
            </w:r>
          </w:p>
        </w:tc>
        <w:tc>
          <w:tcPr>
            <w:tcW w:w="7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Documentar TRAIN/INFERENCE, registry, monitoreo, Airflow, SQL Server/SSRS, seguridad y transferencia.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7" w:name="__RefHeading___Toc1337_3839441660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5. Cronograma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Plazos contractuales de referencia del TDR, contados desde el día siguiente de la suscripción del contrato: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3. Cronograma contractual de referencia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4400"/>
        <w:gridCol w:w="439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Plazo máximo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Primer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7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Segundo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30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Tercer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60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Cuarto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90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Quinto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120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Sexto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150 días calendario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Séptimo Producto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180 días calendario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8" w:name="__RefHeading___Toc1339_3839441660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6. Anexos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auditoría integral del TDR distingue evidencia reproducible de dependencias institucionales.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La descripción funcional vigente se encuentra en README.md; la historia de cambios permanece en Git/PR.</w:t>
      </w:r>
    </w:p>
    <w:p>
      <w:pPr>
        <w:pStyle w:val="Heading1"/>
        <w:spacing w:lineRule="auto" w:line="240" w:before="240" w:after="60"/>
        <w:rPr/>
      </w:pPr>
      <w:bookmarkStart w:id="9" w:name="__RefHeading___Toc1341_3839441660"/>
      <w:bookmarkEnd w:id="9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0" w:name="__RefHeading___Toc1343_3839441660"/>
      <w:bookmarkEnd w:id="10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1" w:name="__RefHeading___Toc1345_3839441660"/>
      <w:bookmarkEnd w:id="11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12" w:name="__RefHeading___Toc1347_3839441660"/>
      <w:bookmarkEnd w:id="12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13" w:name="__RefHeading___Toc1349_3839441660"/>
      <w:bookmarkEnd w:id="13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14" w:name="__RefHeading___Toc1351_3839441660"/>
      <w:bookmarkEnd w:id="14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15" w:name="__RefHeading___Toc1353_3839441660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7"/>
      <w:footerReference w:type="default" r:id="rId8"/>
      <w:footerReference w:type="firs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Plan de Trabajo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2026-10-12T18:57:59Z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2026-10-12T18:58:03Z</dcterms:modified>
  <cp:revision>2</cp:revision>
  <dc:subject/>
  <dc:title>Plan de Trabajo - Prototipo independiente CGR 1.8.2</dc:title>
</cp:coreProperties>
</file>