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Preprocesamiento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729_3839441660"/>
      <w:bookmarkEnd w:id="0"/>
      <w:r>
        <w:rPr>
          <w:rFonts w:eastAsia="Arial" w:cs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benchmark reproducible contiene 4,296 contratos y produce 2,362 pares proveedor-entidad. El contrato operacional separa FIT y TRANSFORM, congela estadísticas aprendidas y utiliza monto_capped para limitar la influencia de extremos monetarios en favoritismo.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obtenidas con el benchmark sintético verifican coherencia metodológica y funcionamiento reproducible del pipeline; no estiman por sí solas desempeño productivo. Las salidas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729_3839441660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1_3839441660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3_3839441660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5_3839441660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7_3839441660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39_3839441660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1_3839441660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43_3839441660">
            <w:r>
              <w:rPr>
                <w:rStyle w:val="IndexLink"/>
              </w:rPr>
              <w:t>3. Productos Alcanzados</w:t>
              <w:tab/>
              <w:t>3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5_3839441660">
            <w:r>
              <w:rPr>
                <w:rStyle w:val="IndexLink"/>
              </w:rPr>
              <w:t>3.1 Contrato FIT/TRANSFORM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7_3839441660">
            <w:r>
              <w:rPr>
                <w:rStyle w:val="IndexLink"/>
              </w:rPr>
              <w:t>3.2 Tratamiento de montos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49_3839441660">
            <w:r>
              <w:rPr>
                <w:rStyle w:val="IndexLink"/>
              </w:rPr>
              <w:t>3.3 Feature engineering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1_3839441660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3_3839441660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5_3839441660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7_3839441660">
            <w:r>
              <w:rPr>
                <w:rStyle w:val="IndexLink"/>
              </w:rPr>
              <w:t>7. Conclusiones y Recomendaciones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59_3839441660">
            <w:r>
              <w:rPr>
                <w:rStyle w:val="IndexLink"/>
              </w:rPr>
              <w:t>8. Anexos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61_3839441660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3_3839441660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5_3839441660">
            <w:r>
              <w:rPr>
                <w:rStyle w:val="IndexLink"/>
              </w:rPr>
              <w:t>Distribución de pagos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7_3839441660">
            <w:r>
              <w:rPr>
                <w:rStyle w:val="IndexLink"/>
              </w:rPr>
              <w:t>Modalidades por régimen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69_3839441660">
            <w:r>
              <w:rPr>
                <w:rStyle w:val="IndexLink"/>
              </w:rPr>
              <w:t>Arquitectura operacional Spark-native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771_3839441660">
            <w:r>
              <w:rPr>
                <w:rStyle w:val="IndexLink"/>
              </w:rPr>
              <w:t>Limitación institucional</w:t>
              <w:tab/>
              <w:t>7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773_3839441660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731_3839441660"/>
      <w:bookmarkEnd w:id="1"/>
      <w:r>
        <w:rPr>
          <w:rFonts w:eastAsia="Arial" w:cs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Estado y decisiones del preprocesamiento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733_3839441660"/>
      <w:bookmarkEnd w:id="2"/>
      <w:r>
        <w:rPr>
          <w:rFonts w:eastAsia="Arial" w:cs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735_3839441660"/>
      <w:bookmarkEnd w:id="3"/>
      <w:r>
        <w:rPr>
          <w:rFonts w:eastAsia="Arial" w:cs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737_3839441660"/>
      <w:bookmarkEnd w:id="4"/>
      <w:r>
        <w:rPr>
          <w:rFonts w:eastAsia="Arial" w:cs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739_3839441660"/>
      <w:bookmarkEnd w:id="5"/>
      <w:r>
        <w:rPr>
          <w:rFonts w:eastAsia="Arial" w:cs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cómo se transforma el contrato canónico en variables aptas para el modelo de favoritismo y por qué el preprocesamiento se ajusta únicamente durante TRAIN.</w:t>
      </w:r>
    </w:p>
    <w:p>
      <w:pPr>
        <w:pStyle w:val="Heading1"/>
        <w:spacing w:lineRule="exact" w:line="240" w:before="240" w:after="120"/>
        <w:rPr/>
      </w:pPr>
      <w:bookmarkStart w:id="6" w:name="__RefHeading___Toc1741_3839441660"/>
      <w:bookmarkEnd w:id="6"/>
      <w:r>
        <w:rPr>
          <w:rFonts w:eastAsia="Arial" w:cs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7" w:name="__RefHeading___Toc1743_3839441660"/>
      <w:bookmarkEnd w:id="7"/>
      <w:r>
        <w:rPr>
          <w:rFonts w:eastAsia="Arial" w:cs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745_3839441660"/>
      <w:bookmarkEnd w:id="8"/>
      <w:r>
        <w:rPr>
          <w:rFonts w:eastAsia="Arial" w:cs="Arial"/>
          <w:b/>
          <w:bCs/>
          <w:color w:val="000000"/>
          <w:sz w:val="22"/>
          <w:szCs w:val="22"/>
        </w:rPr>
        <w:t>3.1 Contrato FIT/TRANSFORM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TRAIN aprende medianas por objeto, mediana global, modas y P99. INFERENCE recibe ese estado congelado y no recalcula parámetros con el lote actual. Esta separación evita train-serving skew y preserva trazabilidad.</w:t>
      </w:r>
    </w:p>
    <w:p>
      <w:pPr>
        <w:pStyle w:val="Heading2"/>
        <w:spacing w:lineRule="exact" w:line="240" w:before="180" w:after="80"/>
        <w:rPr/>
      </w:pPr>
      <w:bookmarkStart w:id="9" w:name="__RefHeading___Toc1747_3839441660"/>
      <w:bookmarkEnd w:id="9"/>
      <w:r>
        <w:rPr>
          <w:rFonts w:eastAsia="Arial" w:cs="Arial"/>
          <w:b/>
          <w:bCs/>
          <w:color w:val="000000"/>
          <w:sz w:val="22"/>
          <w:szCs w:val="22"/>
        </w:rPr>
        <w:t>3.2 Tratamiento de montos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Favoritismo utiliza monto_capped con un límite P99 aprendido en TRAIN. La decisión reduce la dominancia de valores monetarios extremos sobre agregados sin introducir información del lote de inferencia.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Estado y decisiones del preprocesamiento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300"/>
        <w:gridCol w:w="5499"/>
      </w:tblGrid>
      <w:tr>
        <w:trPr>
          <w:tblHeader w:val="true"/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Elemento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Evidencia/decisión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4,296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P99 del monto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894,438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2,362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Modalidades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Contratación Directa y Comparación de Precios se conservan como variables separadas.</w:t>
            </w:r>
          </w:p>
        </w:tc>
      </w:tr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Estado de serving</w:t>
            </w:r>
          </w:p>
        </w:tc>
        <w:tc>
          <w:tcPr>
            <w:tcW w:w="5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Preprocesador congelado; INFERENCE no ejecuta FIT.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749_3839441660"/>
      <w:bookmarkEnd w:id="10"/>
      <w:r>
        <w:rPr>
          <w:rFonts w:eastAsia="Arial" w:cs="Arial"/>
          <w:b/>
          <w:bCs/>
          <w:color w:val="000000"/>
          <w:sz w:val="22"/>
          <w:szCs w:val="22"/>
        </w:rPr>
        <w:t>3.3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Comparación de Precios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Funcionarios distintos, días de actividad, contratos por mes y monto por funcionario.</w:t>
      </w:r>
    </w:p>
    <w:p>
      <w:pPr>
        <w:pStyle w:val="Heading1"/>
        <w:spacing w:lineRule="exact" w:line="240" w:before="240" w:after="120"/>
        <w:rPr/>
      </w:pPr>
      <w:bookmarkStart w:id="11" w:name="__RefHeading___Toc1751_3839441660"/>
      <w:bookmarkEnd w:id="11"/>
      <w:r>
        <w:rPr>
          <w:rFonts w:eastAsia="Arial" w:cs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Aplicación del contrato canónico y quality gates antes del modelado.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Ajuste de estadísticas únicamente sobre datos de TRAIN/desarrollo.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Transformación reproducible y construcción de features.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schema, labels y consistencia pandas/Spark.</w:t>
      </w:r>
    </w:p>
    <w:p>
      <w:pPr>
        <w:pStyle w:val="Heading1"/>
        <w:spacing w:lineRule="exact" w:line="240" w:before="240" w:after="120"/>
        <w:rPr/>
      </w:pPr>
      <w:bookmarkStart w:id="12" w:name="__RefHeading___Toc1753_3839441660"/>
      <w:bookmarkEnd w:id="12"/>
      <w:r>
        <w:rPr>
          <w:rFonts w:eastAsia="Arial" w:cs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contrato de preprocesamiento y features está implementado y probado en el PoC. La recalibración sobre distribuciones institucionales requiere fuentes y ground truth CGR.</w:t>
      </w:r>
    </w:p>
    <w:p>
      <w:pPr>
        <w:pStyle w:val="Heading1"/>
        <w:spacing w:lineRule="exact" w:line="240" w:before="240" w:after="120"/>
        <w:rPr/>
      </w:pPr>
      <w:bookmarkStart w:id="13" w:name="__RefHeading___Toc1755_3839441660"/>
      <w:bookmarkEnd w:id="13"/>
      <w:r>
        <w:rPr>
          <w:rFonts w:eastAsia="Arial" w:cs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del benchmark es sintético y no representa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Las reglas de calidad de negocio específicas de SIAF/SEACE dependen del diccionario institucional aprobado.</w:t>
      </w:r>
    </w:p>
    <w:p>
      <w:pPr>
        <w:pStyle w:val="Heading1"/>
        <w:spacing w:lineRule="exact" w:line="240" w:before="240" w:after="120"/>
        <w:rPr/>
      </w:pPr>
      <w:bookmarkStart w:id="14" w:name="__RefHeading___Toc1757_3839441660"/>
      <w:bookmarkEnd w:id="14"/>
      <w:r>
        <w:rPr>
          <w:rFonts w:eastAsia="Arial" w:cs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separación FIT/TRANSFORM y el uso de monto_capped permiten que la inferencia aplique exactamente el estado aprendido durante entrenamiento. Se recomienda conservar ese contrato al integrar fuentes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759_3839441660"/>
      <w:bookmarkEnd w:id="15"/>
      <w:r>
        <w:rPr>
          <w:rFonts w:eastAsia="Arial" w:cs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Heading1"/>
        <w:spacing w:lineRule="auto" w:line="240" w:before="240" w:after="60"/>
        <w:rPr/>
      </w:pPr>
      <w:bookmarkStart w:id="16" w:name="__RefHeading___Toc1761_3839441660"/>
      <w:bookmarkEnd w:id="16"/>
      <w:r>
        <w:rPr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180" w:after="60"/>
        <w:rPr/>
      </w:pPr>
      <w:bookmarkStart w:id="17" w:name="__RefHeading___Toc1763_3839441660"/>
      <w:bookmarkEnd w:id="17"/>
      <w:r>
        <w:rPr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180" w:after="60"/>
        <w:rPr/>
      </w:pPr>
      <w:bookmarkStart w:id="18" w:name="__RefHeading___Toc1765_3839441660"/>
      <w:bookmarkEnd w:id="18"/>
      <w:r>
        <w:rPr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19" w:name="__RefHeading___Toc1767_3839441660"/>
      <w:bookmarkEnd w:id="19"/>
      <w:r>
        <w:rPr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180" w:after="60"/>
        <w:rPr/>
      </w:pPr>
      <w:bookmarkStart w:id="20" w:name="__RefHeading___Toc1769_3839441660"/>
      <w:bookmarkEnd w:id="20"/>
      <w:r>
        <w:rPr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180" w:after="60"/>
        <w:rPr/>
      </w:pPr>
      <w:bookmarkStart w:id="21" w:name="__RefHeading___Toc1771_3839441660"/>
      <w:bookmarkEnd w:id="21"/>
      <w:r>
        <w:rPr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2" w:name="__RefHeading___Toc1773_3839441660"/>
      <w:bookmarkEnd w:id="22"/>
      <w:r>
        <w:rPr>
          <w:rFonts w:eastAsia="Arial" w:cs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Preprocesamiento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Normal"/>
    <w:next w:val="Normal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2026-10-12T18:57:59Z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2026-10-12T18:58:03Z</dcterms:modified>
  <cp:revision>2</cp:revision>
  <dc:subject/>
  <dc:title>Preprocesamiento para Identificación de Proveedores Favoritos - Prototipo independiente CGR 1.8.2</dc:title>
</cp:coreProperties>
</file>