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6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598_3839441660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servido utiliza Apache Spark MLlib con StandardScalerModel + KMeansModel y distancia al centroide. k se selecciona únicamente en desarrollo y el holdout final independiente obtiene AUC-PR 0.323. Isolation Forest permanece como benchmark sklearn complementario y no define el champion.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598_383944166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0_383944166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2_383944166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4_383944166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6_383944166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8_383944166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0_383944166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2_3839441660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4_3839441660">
            <w:r>
              <w:rPr>
                <w:rStyle w:val="IndexLink"/>
              </w:rPr>
              <w:t>3.1 Justificación del algoritmo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6_3839441660">
            <w:r>
              <w:rPr>
                <w:rStyle w:val="IndexLink"/>
              </w:rPr>
              <w:t>3.2 Selección y holdout del KMeans servido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8_3839441660">
            <w:r>
              <w:rPr>
                <w:rStyle w:val="IndexLink"/>
              </w:rPr>
              <w:t>3.3 Señal interpretable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20_3839441660">
            <w:r>
              <w:rPr>
                <w:rStyle w:val="IndexLink"/>
              </w:rPr>
              <w:t>3.4 Benchmark complementario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2_3839441660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4_3839441660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6_3839441660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8_3839441660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0_3839441660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2_3839441660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4_3839441660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6_3839441660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8_3839441660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0_3839441660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2_3839441660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44_3839441660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00_3839441660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Evaluación holdout KMeans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Benchmark Isolation Forest complementario</w:t>
      </w:r>
    </w:p>
    <w:p>
      <w:pPr>
        <w:pStyle w:val="Heading1"/>
        <w:spacing w:lineRule="exact" w:line="240" w:before="240" w:after="120"/>
        <w:rPr/>
      </w:pPr>
      <w:bookmarkStart w:id="2" w:name="__RefHeading___Toc3602_3839441660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Señales de posible fraccionamiento</w:t>
      </w:r>
    </w:p>
    <w:p>
      <w:pPr>
        <w:pStyle w:val="Heading1"/>
        <w:spacing w:lineRule="exact" w:line="240" w:before="240" w:after="120"/>
        <w:rPr/>
      </w:pPr>
      <w:bookmarkStart w:id="3" w:name="__RefHeading___Toc3604_3839441660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06_3839441660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08_3839441660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presenta como evidencia principal el KMeans Spark realmente utilizado por el perfil operacional y separa sus métricas del benchmark Isolation Forest.</w:t>
      </w:r>
    </w:p>
    <w:p>
      <w:pPr>
        <w:pStyle w:val="Heading1"/>
        <w:spacing w:lineRule="exact" w:line="240" w:before="240" w:after="120"/>
        <w:rPr/>
      </w:pPr>
      <w:bookmarkStart w:id="6" w:name="__RefHeading___Toc3610_3839441660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612_3839441660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14_3839441660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3.1 Justificación del algoritmo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Apache Spark MLlib no incorpora Isolation Forest nativo. KMeans permite una implementación distribuible: StandardScaler normaliza las features, KMeans aprende centroides sin labels y la distancia al centroide se transforma en score de anomalía para ranking.</w:t>
      </w:r>
    </w:p>
    <w:p>
      <w:pPr>
        <w:pStyle w:val="Heading2"/>
        <w:spacing w:lineRule="exact" w:line="240" w:before="180" w:after="80"/>
        <w:rPr/>
      </w:pPr>
      <w:bookmarkStart w:id="9" w:name="__RefHeading___Toc3616_3839441660"/>
      <w:bookmarkEnd w:id="9"/>
      <w:r>
        <w:rPr>
          <w:rFonts w:eastAsia="Arial" w:cs="Arial"/>
          <w:b/>
          <w:bCs/>
          <w:color w:val="000000"/>
          <w:sz w:val="22"/>
          <w:szCs w:val="22"/>
        </w:rPr>
        <w:t>3.2 Selección y holdout del KMeans servido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Evaluación holdout KMeans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 seleccionado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etiquetas no se utilizan para ajustar KMeans; se utilizan para seleccionar/evaluar el ranking en el benchmark. El holdout no participa en la selección de k.</w:t>
      </w:r>
    </w:p>
    <w:p>
      <w:pPr>
        <w:pStyle w:val="Heading2"/>
        <w:spacing w:lineRule="exact" w:line="240" w:before="180" w:after="80"/>
        <w:rPr/>
      </w:pPr>
      <w:bookmarkStart w:id="10" w:name="__RefHeading___Toc3618_3839441660"/>
      <w:bookmarkEnd w:id="10"/>
      <w:r>
        <w:rPr>
          <w:rFonts w:eastAsia="Arial" w:cs="Arial"/>
          <w:b/>
          <w:bCs/>
          <w:color w:val="000000"/>
          <w:sz w:val="22"/>
          <w:szCs w:val="22"/>
        </w:rPr>
        <w:t>3.3 Señal interpretable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score de anomalía se complementa con una regla de caja blanca basada en concentración temporal y montos respecto de cuantías parametrizadas. Esta señal facilita revisión humana, pero no declara fraccionamiento.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20_3839441660"/>
      <w:bookmarkEnd w:id="11"/>
      <w:r>
        <w:rPr>
          <w:rFonts w:eastAsia="Arial" w:cs="Arial"/>
          <w:b/>
          <w:bCs/>
          <w:color w:val="000000"/>
          <w:sz w:val="22"/>
          <w:szCs w:val="22"/>
        </w:rPr>
        <w:t>3.4 Benchmark complementario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Benchmark Isolation Forest complementario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Comparación metodológica sklearn; no es el serving activo.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2" w:name="__RefHeading___Toc3622_3839441660"/>
      <w:bookmarkEnd w:id="12"/>
      <w:r>
        <w:rPr>
          <w:rFonts w:eastAsia="Arial" w:cs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StandardScaler + KMeans + distancia al centroide.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 de k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final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complementaria con Isolation Forest sin confundir sus métricas con el champion.</w:t>
      </w:r>
    </w:p>
    <w:p>
      <w:pPr>
        <w:pStyle w:val="Heading1"/>
        <w:spacing w:lineRule="exact" w:line="240" w:before="240" w:after="120"/>
        <w:rPr/>
      </w:pPr>
      <w:bookmarkStart w:id="13" w:name="__RefHeading___Toc3624_3839441660"/>
      <w:bookmarkEnd w:id="13"/>
      <w:r>
        <w:rPr>
          <w:rFonts w:eastAsia="Arial" w:cs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KMeans Spark dispone de selección y holdout propios. La calibración con ground truth real y el rendimiento distribuido deben validarse en infraestructura CGR.</w:t>
      </w:r>
    </w:p>
    <w:p>
      <w:pPr>
        <w:pStyle w:val="Heading1"/>
        <w:spacing w:lineRule="exact" w:line="240" w:before="240" w:after="120"/>
        <w:rPr/>
      </w:pPr>
      <w:bookmarkStart w:id="14" w:name="__RefHeading___Toc3626_3839441660"/>
      <w:bookmarkEnd w:id="14"/>
      <w:r>
        <w:rPr>
          <w:rFonts w:eastAsia="Arial" w:cs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desbalance y el número limitado de positivos sintéticos hacen que las métricas sean variables.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Un score de anomalía prioriza rareza estadística; la interpretación de irregularidad requiere contexto documental y jurídico.</w:t>
      </w:r>
    </w:p>
    <w:p>
      <w:pPr>
        <w:pStyle w:val="Heading1"/>
        <w:spacing w:lineRule="exact" w:line="240" w:before="240" w:after="120"/>
        <w:rPr/>
      </w:pPr>
      <w:bookmarkStart w:id="15" w:name="__RefHeading___Toc3628_3839441660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KMeans Spark es el modelo operacional de fraccionamiento del PoC. Isolation Forest se conserva como benchmark secundario; la evidencia principal del entregable corresponde al pipeline servido.</w:t>
      </w:r>
    </w:p>
    <w:p>
      <w:pPr>
        <w:pStyle w:val="Heading1"/>
        <w:spacing w:lineRule="exact" w:line="240" w:before="240" w:after="120"/>
        <w:rPr/>
      </w:pPr>
      <w:bookmarkStart w:id="16" w:name="__RefHeading___Toc3630_3839441660"/>
      <w:bookmarkEnd w:id="16"/>
      <w:r>
        <w:rPr>
          <w:rFonts w:eastAsia="Arial" w:cs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240" w:after="60"/>
        <w:rPr/>
      </w:pPr>
      <w:bookmarkStart w:id="17" w:name="__RefHeading___Toc3632_3839441660"/>
      <w:bookmarkEnd w:id="17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18" w:name="__RefHeading___Toc3634_3839441660"/>
      <w:bookmarkEnd w:id="18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19" w:name="__RefHeading___Toc3636_3839441660"/>
      <w:bookmarkEnd w:id="19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0" w:name="__RefHeading___Toc3638_3839441660"/>
      <w:bookmarkEnd w:id="20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1" w:name="__RefHeading___Toc3640_3839441660"/>
      <w:bookmarkEnd w:id="21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22" w:name="__RefHeading___Toc3642_3839441660"/>
      <w:bookmarkEnd w:id="22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644_3839441660"/>
      <w:bookmarkEnd w:id="23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2026-10-12T18:57:59Z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2026-10-12T18:58:04Z</dcterms:modified>
  <cp:revision>2</cp:revision>
  <dc:subject/>
  <dc:title>Selección del Algoritmo y Modelo para Detección de Posible Fraccionamiento - Prototipo independiente CGR 1.8.2</dc:title>
</cp:coreProperties>
</file>