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7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Informe Final de la Consultoría - Prototipo Independiente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4101_3839441660"/>
      <w:bookmarkEnd w:id="0"/>
      <w:r>
        <w:rPr>
          <w:rFonts w:eastAsia="Arial" w:cs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prototipo integra datos mediante un esquema canónico, aplica quality gates, construye señales de posible favoritismo y fraccionamiento, ejecuta Random Forest y KMeans con Apache Spark MLlib, analiza vínculos con GraphFrames y separa evaluación, TRAIN, candidate, promoción, champion e INFERENCE. La documentación formal presenta como evidencia principal los modelos Spark servidos y conserva sklearn únicamente como benchmark/explicabilidad complementaria.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obtenidas con el benchmark sintético verifican coherencia metodológica y funcionamiento reproducible del pipeline; no estiman por sí solas desempeño productivo. Las salidas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4101_3839441660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03_3839441660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05_3839441660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07_3839441660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09_3839441660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11_3839441660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13_3839441660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15_3839441660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17_3839441660">
            <w:r>
              <w:rPr>
                <w:rStyle w:val="IndexLink"/>
              </w:rPr>
              <w:t>3.1 Arquitectura y modelos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19_3839441660">
            <w:r>
              <w:rPr>
                <w:rStyle w:val="IndexLink"/>
              </w:rPr>
              <w:t>3.2 Plan de monitoreo y mantenimiento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21_3839441660">
            <w:r>
              <w:rPr>
                <w:rStyle w:val="IndexLink"/>
              </w:rPr>
              <w:t>3.3 Pruebas de integración y operación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23_3839441660">
            <w:r>
              <w:rPr>
                <w:rStyle w:val="IndexLink"/>
              </w:rPr>
              <w:t>3.4 Reporting y transferencia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25_3839441660">
            <w:r>
              <w:rPr>
                <w:rStyle w:val="IndexLink"/>
              </w:rPr>
              <w:t>3.5 Certificación y marcha blanca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27_3839441660">
            <w:r>
              <w:rPr>
                <w:rStyle w:val="IndexLink"/>
              </w:rPr>
              <w:t>3.6 Dependencias institucionales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29_3839441660">
            <w:r>
              <w:rPr>
                <w:rStyle w:val="IndexLink"/>
              </w:rPr>
              <w:t>4. Conclusiones y Recomendaciones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31_3839441660">
            <w:r>
              <w:rPr>
                <w:rStyle w:val="IndexLink"/>
              </w:rPr>
              <w:t>5. Anexos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33_3839441660">
            <w:r>
              <w:rPr>
                <w:rStyle w:val="IndexLink"/>
              </w:rPr>
              <w:t>ANEXO TÉCNICO — PAGOS, MODALIDADES Y ARQUITECTURA OPERACIONAL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35_3839441660">
            <w:r>
              <w:rPr>
                <w:rStyle w:val="IndexLink"/>
              </w:rPr>
              <w:t>Resultados reproducibles de pagos y modalidades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37_3839441660">
            <w:r>
              <w:rPr>
                <w:rStyle w:val="IndexLink"/>
              </w:rPr>
              <w:t>Distribución de pagos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39_3839441660">
            <w:r>
              <w:rPr>
                <w:rStyle w:val="IndexLink"/>
              </w:rPr>
              <w:t>Modalidades por régimen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41_3839441660">
            <w:r>
              <w:rPr>
                <w:rStyle w:val="IndexLink"/>
              </w:rPr>
              <w:t>Arquitectura operacional Spark-native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43_3839441660">
            <w:r>
              <w:rPr>
                <w:rStyle w:val="IndexLink"/>
              </w:rPr>
              <w:t>Limitación institucional</w:t>
              <w:tab/>
              <w:t>8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45_3839441660">
            <w:r>
              <w:rPr>
                <w:rStyle w:val="IndexLink"/>
              </w:rPr>
              <w:t>Referencias Bibliográficas</w:t>
              <w:tab/>
              <w:t>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4103_3839441660"/>
      <w:bookmarkEnd w:id="1"/>
      <w:r>
        <w:rPr>
          <w:rFonts w:eastAsia="Arial" w:cs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Resumen de modelos operacionales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Plan de monitoreo y mantenimiento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Cierre frente a dependencias institucionales</w:t>
      </w:r>
    </w:p>
    <w:p>
      <w:pPr>
        <w:pStyle w:val="Heading1"/>
        <w:spacing w:lineRule="exact" w:line="240" w:before="240" w:after="120"/>
        <w:rPr/>
      </w:pPr>
      <w:bookmarkStart w:id="2" w:name="__RefHeading___Toc4105_3839441660"/>
      <w:bookmarkEnd w:id="2"/>
      <w:r>
        <w:rPr>
          <w:rFonts w:eastAsia="Arial" w:cs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Diagrama del modelo de datos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Red proveedor-funcionario sintética</w:t>
      </w:r>
    </w:p>
    <w:p>
      <w:pPr>
        <w:pStyle w:val="Heading1"/>
        <w:spacing w:lineRule="exact" w:line="240" w:before="240" w:after="120"/>
        <w:rPr/>
      </w:pPr>
      <w:bookmarkStart w:id="3" w:name="__RefHeading___Toc4107_3839441660"/>
      <w:bookmarkEnd w:id="3"/>
      <w:r>
        <w:rPr>
          <w:rFonts w:eastAsia="Arial" w:cs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4109_3839441660"/>
      <w:bookmarkEnd w:id="4"/>
      <w:r>
        <w:rPr>
          <w:rFonts w:eastAsia="Arial" w:cs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4111_3839441660"/>
      <w:bookmarkEnd w:id="5"/>
      <w:r>
        <w:rPr>
          <w:rFonts w:eastAsia="Arial" w:cs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informe consolida el estado funcional de la herramienta y las decisiones técnicas que permiten reproducirla. La historia de correcciones se conserva en Git/PR y no forma parte de la descripción principal del sistema.</w:t>
      </w:r>
    </w:p>
    <w:p>
      <w:pPr>
        <w:pStyle w:val="Heading1"/>
        <w:spacing w:lineRule="exact" w:line="240" w:before="240" w:after="120"/>
        <w:rPr/>
      </w:pPr>
      <w:bookmarkStart w:id="6" w:name="__RefHeading___Toc4113_3839441660"/>
      <w:bookmarkEnd w:id="6"/>
      <w:r>
        <w:rPr>
          <w:rFonts w:eastAsia="Arial" w:cs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TDR tomado como referencia plantea disponer datos procesados y filtrados de fuentes externas e internas y desarrollar modelos de Machine Learning que permitan identificar casos atípicos y patrones de riesgo relevantes para la labor del auditor. Este repositorio demuestra ese objetivo como prototipo independiente y reproducible, sin atribuirse aprobación o despliegue institucional CGR.</w:t>
      </w:r>
    </w:p>
    <w:p>
      <w:pPr>
        <w:pStyle w:val="Heading1"/>
        <w:spacing w:lineRule="exact" w:line="240" w:before="240" w:after="120"/>
        <w:rPr/>
      </w:pPr>
      <w:bookmarkStart w:id="7" w:name="__RefHeading___Toc4115_3839441660"/>
      <w:bookmarkEnd w:id="7"/>
      <w:r>
        <w:rPr>
          <w:rFonts w:eastAsia="Arial" w:cs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4117_3839441660"/>
      <w:bookmarkEnd w:id="8"/>
      <w:r>
        <w:rPr>
          <w:rFonts w:eastAsia="Arial" w:cs="Arial"/>
          <w:b/>
          <w:bCs/>
          <w:color w:val="000000"/>
          <w:sz w:val="22"/>
          <w:szCs w:val="22"/>
        </w:rPr>
        <w:t>3.1 Arquitectura y modelos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Resumen de modelos operacionales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200"/>
        <w:gridCol w:w="3300"/>
        <w:gridCol w:w="3300"/>
      </w:tblGrid>
      <w:tr>
        <w:trPr>
          <w:tblHeader w:val="true"/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Caso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Modelo servido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Evaluación principal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Favoritismo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RandomForestClassificationModel - Spark MLlib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 holdout 1.000; recall@K 1.000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Fraccionamiento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StandardScaler + KMeans (k=3) - Spark MLlib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 holdout 0.323; recall@K 0.429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Grafos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GraphFrames / NetworkX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Señales de vínculo para revisión humana.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ruta spark_sql mantiene DataFrames Spark en integración, validación, preprocesamiento, evaluación, TRAIN e INFERENCE y publica rankings distribuidos en Parquet.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Diagrama del modelo de datos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42900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9" w:name="__RefHeading___Toc4119_3839441660"/>
      <w:bookmarkEnd w:id="9"/>
      <w:r>
        <w:rPr>
          <w:rFonts w:eastAsia="Arial" w:cs="Arial"/>
          <w:b/>
          <w:bCs/>
          <w:color w:val="000000"/>
          <w:sz w:val="22"/>
          <w:szCs w:val="22"/>
        </w:rPr>
        <w:t>3.2 Plan de monitoreo y mantenimiento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Plan de monitoreo y mantenimiento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999"/>
        <w:gridCol w:w="5800"/>
      </w:tblGrid>
      <w:tr>
        <w:trPr>
          <w:tblHeader w:val="true"/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Control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Tratamiento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Calidad de datos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Quality gates de esquema, unicidad, integridad referencial y rangos estructurales.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Drift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 sobre features y distribución de score de fraccionamiento.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Desempeño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Recall@K cuando existe ground truth nuevo y validado.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Reentrenamiento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Genera candidate; requiere evaluación y no se promueve automáticamente.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Integridad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SHA-256 antes/después de INFERENCE y promoción versionada.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Normativa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Cuantías versionadas por fecha/categoría y regresiones automáticas.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monitor se liga al champion activo del registry. Promoción automática: deshabilitada.</w:t>
      </w:r>
    </w:p>
    <w:p>
      <w:pPr>
        <w:pStyle w:val="Heading2"/>
        <w:spacing w:lineRule="exact" w:line="240" w:before="180" w:after="80"/>
        <w:rPr/>
      </w:pPr>
      <w:bookmarkStart w:id="10" w:name="__RefHeading___Toc4121_3839441660"/>
      <w:bookmarkEnd w:id="10"/>
      <w:r>
        <w:rPr>
          <w:rFonts w:eastAsia="Arial" w:cs="Arial"/>
          <w:b/>
          <w:bCs/>
          <w:color w:val="000000"/>
          <w:sz w:val="22"/>
          <w:szCs w:val="22"/>
        </w:rPr>
        <w:t>3.3 Pruebas de integración y operación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Las pruebas de integración del repositorio cubren CI, Spark MLlib, GraphFrames, candidate/champion, inference, calidad de datos, generación documental y reporting local. Las pruebas de integración DEV/QA/PROD, carga, concurrencia, skew, seguridad y operación real requieren infraestructura institucional.</w:t>
      </w:r>
    </w:p>
    <w:p>
      <w:pPr>
        <w:pStyle w:val="Heading2"/>
        <w:spacing w:lineRule="exact" w:line="240" w:before="180" w:after="80"/>
        <w:rPr/>
      </w:pPr>
      <w:bookmarkStart w:id="11" w:name="__RefHeading___Toc4123_3839441660"/>
      <w:bookmarkEnd w:id="11"/>
      <w:r>
        <w:rPr>
          <w:rFonts w:eastAsia="Arial" w:cs="Arial"/>
          <w:b/>
          <w:bCs/>
          <w:color w:val="000000"/>
          <w:sz w:val="22"/>
          <w:szCs w:val="22"/>
        </w:rPr>
        <w:t>3.4 Reporting y transferencia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contrato SQL Server/SSRS se entrega como DDL, vistas, roles de referencia y RDL con Shared Data Source. La Transferencia de conocimiento se apoya en README, documentación técnica, diccionario, linaje, manifests y Productos 1-7; las sesiones y actas formales requieren participantes CGR.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Red proveedor-funcionario sintética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90525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2" w:name="__RefHeading___Toc4125_3839441660"/>
      <w:bookmarkEnd w:id="12"/>
      <w:r>
        <w:rPr>
          <w:rFonts w:eastAsia="Arial" w:cs="Arial"/>
          <w:b/>
          <w:bCs/>
          <w:color w:val="000000"/>
          <w:sz w:val="22"/>
          <w:szCs w:val="22"/>
        </w:rPr>
        <w:t>3.5 Certificación y marcha blanca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certificación funcional, levantamiento de incidencias y marcha blanca no pueden acreditarse desde el repositorio público. Requieren usuarios, ambientes, fuentes y criterios de aceptación institucionales.</w:t>
      </w:r>
    </w:p>
    <w:p>
      <w:pPr>
        <w:pStyle w:val="Heading2"/>
        <w:spacing w:lineRule="exact" w:line="240" w:before="180" w:after="80"/>
        <w:rPr/>
      </w:pPr>
      <w:bookmarkStart w:id="13" w:name="__RefHeading___Toc4127_3839441660"/>
      <w:bookmarkEnd w:id="13"/>
      <w:r>
        <w:rPr>
          <w:rFonts w:eastAsia="Arial" w:cs="Arial"/>
          <w:b/>
          <w:bCs/>
          <w:color w:val="000000"/>
          <w:sz w:val="22"/>
          <w:szCs w:val="22"/>
        </w:rPr>
        <w:t>3.6 Dependencias institucionales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3. Cierre frente a dependencias institucionales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600"/>
        <w:gridCol w:w="5199"/>
      </w:tblGrid>
      <w:tr>
        <w:trPr>
          <w:tblHeader w:val="true"/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Área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Estado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Software reproducible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Implementado y validado por CI.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 real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Dependencia institucional.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Spark/almacenamiento CGR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Dependencia institucional para performance y robustez.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DEV/QA/PROD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Dependencia institucional.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Server/SSRS institucional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Contrato preparado; ejecución institucional pendiente.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Certificación / marcha blanca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Dependencia institucional.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14" w:name="__RefHeading___Toc4129_3839441660"/>
      <w:bookmarkEnd w:id="14"/>
      <w:r>
        <w:rPr>
          <w:rFonts w:eastAsia="Arial" w:cs="Arial"/>
          <w:b/>
          <w:bCs/>
          <w:color w:val="000000"/>
          <w:sz w:val="22"/>
          <w:szCs w:val="22"/>
        </w:rPr>
        <w:t>4.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herramienta queda documentada como un sistema de priorización reproducible: esquema canónico, preprocesador congelado, modelos Spark con evaluación propia, registry versionado, promoción explícita, inference sin retraining y monitoreo ligado al champion. El siguiente nivel de evidencia requiere ground truth, infraestructura y validación funcional CGR; no debe inferirse producción certificada a partir de los resultados sintéticos.</w:t>
      </w:r>
    </w:p>
    <w:p>
      <w:pPr>
        <w:pStyle w:val="Heading1"/>
        <w:spacing w:lineRule="exact" w:line="240" w:before="240" w:after="120"/>
        <w:rPr/>
      </w:pPr>
      <w:bookmarkStart w:id="15" w:name="__RefHeading___Toc4131_3839441660"/>
      <w:bookmarkEnd w:id="15"/>
      <w:r>
        <w:rPr>
          <w:rFonts w:eastAsia="Arial" w:cs="Arial"/>
          <w:b/>
          <w:bCs/>
          <w:color w:val="000000"/>
          <w:sz w:val="22"/>
          <w:szCs w:val="22"/>
        </w:rPr>
        <w:t>5. Anexos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Repositorio, código y documentación técnica: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machine-readable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Trazabilidad: outputs/run_manifest.json, outputs/linaje_datos.csv y outputs/model_registry.json.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Arquitectura MLOps: docs/Arquitectura_MLOps.md.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Evaluación Spark y performance: docs/Evaluacion_Spark_y_Performance.md.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Validación OCDS: 47,254 contratos analíticos con award/supplier resoluble.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GraphFrames: 280 vértices y 3130 aristas en evidencia sintética.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Dependencias institucionales: docs/Dependencias_Institucionales_CGR.md.</w:t>
      </w:r>
    </w:p>
    <w:p>
      <w:pPr>
        <w:pStyle w:val="Heading1"/>
        <w:spacing w:lineRule="auto" w:line="240" w:before="240" w:after="60"/>
        <w:rPr/>
      </w:pPr>
      <w:bookmarkStart w:id="16" w:name="__RefHeading___Toc4133_3839441660"/>
      <w:bookmarkEnd w:id="16"/>
      <w:r>
        <w:rPr>
          <w:b/>
          <w:sz w:val="22"/>
        </w:rPr>
        <w:t>ANEXO TÉCNICO — PAGOS, MODALIDADES Y ARQUITECTURA OPERACIONAL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el análisis estadístico/exploratorio de pagos, montos contractuales y modalidades y documenta la arquitectura operacional asociada. La evidencia de pagos usa datos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180" w:after="60"/>
        <w:rPr/>
      </w:pPr>
      <w:bookmarkStart w:id="17" w:name="__RefHeading___Toc4135_3839441660"/>
      <w:bookmarkEnd w:id="17"/>
      <w:r>
        <w:rPr>
          <w:b/>
          <w:sz w:val="22"/>
        </w:rPr>
        <w:t>Resultados reproducibles de pagos y modalidades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7790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4296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515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261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93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1601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1565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comparación de modalidades frente a cuantía es únicamente referencial. Contratación Directa, Comparación de Precios, Subasta Inversa, acuerdos marco y otros supuestos pueden depender de condiciones que no se deducen del monto por sí solo; 'requiere revisión de contexto' no equivale a irregularidad.</w:t>
      </w:r>
    </w:p>
    <w:p>
      <w:pPr>
        <w:pStyle w:val="Heading2"/>
        <w:spacing w:lineRule="auto" w:line="240" w:before="180" w:after="60"/>
        <w:rPr/>
      </w:pPr>
      <w:bookmarkStart w:id="18" w:name="__RefHeading___Toc4137_3839441660"/>
      <w:bookmarkEnd w:id="18"/>
      <w:r>
        <w:rPr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3" name="Picture 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0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180" w:after="60"/>
        <w:rPr/>
      </w:pPr>
      <w:bookmarkStart w:id="19" w:name="__RefHeading___Toc4139_3839441660"/>
      <w:bookmarkEnd w:id="19"/>
      <w:r>
        <w:rPr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4" name="Picture 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11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180" w:after="60"/>
        <w:rPr/>
      </w:pPr>
      <w:bookmarkStart w:id="20" w:name="__RefHeading___Toc4141_3839441660"/>
      <w:bookmarkEnd w:id="20"/>
      <w:r>
        <w:rPr>
          <w:b/>
          <w:sz w:val="22"/>
        </w:rPr>
        <w:t>Arquitectura operacional Spark-native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TRAIN/INFERENCE admiten un master Spark configurable. Cuando source.type=spark_sql, el conector devuelve un Spark DataFrame y el mapping, validación, preprocesamiento, feature engineering y MLlib permanecen en Spark sin toPandas(). Las medianas por objeto aprendidas en TRAIN se persisten como Parquet distribuido y los rankings de INFERENCE se escriben también como Parquet distribuido.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Esta frontera mantiene el corpus contractual distribuido y evita materializarlo en pandas o en la memoria del driver. No sustituye las pruebas de carga, particionamiento, seguridad, rendimiento y robustez que deben ejecutarse con el clúster y volumen institucionales reales.</w:t>
      </w:r>
    </w:p>
    <w:p>
      <w:pPr>
        <w:pStyle w:val="Heading2"/>
        <w:spacing w:lineRule="auto" w:line="240" w:before="180" w:after="60"/>
        <w:rPr/>
      </w:pPr>
      <w:bookmarkStart w:id="21" w:name="__RefHeading___Toc4143_3839441660"/>
      <w:bookmarkEnd w:id="21"/>
      <w:r>
        <w:rPr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SIAF/SEACE, tablas/vistas reales, ground truth, permisos, clúster, DEV/QA/PROD, SQL Server/SSRS, certificación y conformidad depende de la CGR y permanece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22" w:name="__RefHeading___Toc4145_3839441660"/>
      <w:bookmarkEnd w:id="22"/>
      <w:r>
        <w:rPr>
          <w:rFonts w:eastAsia="Arial" w:cs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9"/>
      <w:footerReference w:type="default" r:id="rId10"/>
      <w:footerReference w:type="first" r:id="rId11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Informe Final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"/>
    <w:next w:val="Normal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Normal"/>
    <w:next w:val="Normal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Normal"/>
    <w:next w:val="Normal"/>
    <w:qFormat/>
    <w:pPr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pPr/>
    <w:rPr>
      <w:i/>
      <w:iCs/>
      <w:color w:val="2E74B5"/>
    </w:rPr>
  </w:style>
  <w:style w:type="paragraph" w:styleId="Heading5">
    <w:name w:val="Heading 5"/>
    <w:basedOn w:val="Normal"/>
    <w:next w:val="Normal"/>
    <w:qFormat/>
    <w:pPr/>
    <w:rPr>
      <w:color w:val="2E74B5"/>
    </w:rPr>
  </w:style>
  <w:style w:type="paragraph" w:styleId="Heading6">
    <w:name w:val="Heading 6"/>
    <w:basedOn w:val="Normal"/>
    <w:next w:val="Normal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Normal"/>
    <w:next w:val="Normal"/>
    <w:qFormat/>
    <w:pPr/>
    <w:rPr>
      <w:sz w:val="56"/>
      <w:szCs w:val="56"/>
    </w:rPr>
  </w:style>
  <w:style w:type="paragraph" w:styleId="StrongEmphasis">
    <w:name w:val="Strong Emphasis"/>
    <w:basedOn w:val="Normal"/>
    <w:next w:val="Normal"/>
    <w:qFormat/>
    <w:pPr/>
    <w:rPr>
      <w:b/>
      <w:bCs/>
    </w:rPr>
  </w:style>
  <w:style w:type="paragraph" w:styleId="ListParagraph">
    <w:name w:val="List Paragraph"/>
    <w:basedOn w:val="Normal"/>
    <w:qFormat/>
    <w:pPr/>
    <w:rPr/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header" Target="header1.xml"/><Relationship Id="rId10" Type="http://schemas.openxmlformats.org/officeDocument/2006/relationships/footer" Target="footer4.xml"/><Relationship Id="rId11" Type="http://schemas.openxmlformats.org/officeDocument/2006/relationships/footer" Target="footer5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2026-10-12T18:57:59Z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2026-10-12T18:58:05Z</dcterms:modified>
  <cp:revision>2</cp:revision>
  <dc:subject/>
  <dc:title>Informe Final - Prototipo independiente CGR 1.8.2</dc:title>
</cp:coreProperties>
</file>