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spacing w:after="100" w:before="100"/>
        <w:jc w:val="center"/>
      </w:pPr>
      <w:r>
        <w:rPr>
          <w:b/>
          <w:bCs/>
          <w:color w:val="C0392B"/>
          <w:sz w:val="20"/>
          <w:szCs w:val="20"/>
        </w:rPr>
        <w:t xml:space="preserve">Prototipo independiente — no constituye una implementación oficial ni cuenta con aprobación institucional de la CGR</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como una contribución de licencia abierta al control gubernamental y a la lucha anticorrupción.</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(8 de 8 casos marcados fueron fraccionamiento real) sobre 8 casos sembrados en 149 grupos proveedor-entidad-objeto.</w:t>
      </w:r>
    </w:p>
    <w:p>
      <w:pPr>
        <w:spacing w:after="160"/>
      </w:pPr>
      <w:r>
        <w:rPr>
          <w:sz w:val="22"/>
          <w:szCs w:val="22"/>
        </w:rPr>
        <w:t xml:space="preserve">Nota de interpretación importante: el generador sintético siembra los casos de fraccionamiento exactamente con el patrón que la regla busca (mismo proveedor-entidad-objeto, 3 a 6 compras en pocos días, montos justo bajo el umbral legal). Que la regla los encuentre con 100% de precisión confirma que la implementación funciona como fue diseñada — una prueba funcional (sanity check) válida y necesaria — pero no es evidencia de desempeño predictivo sobre datos externos no sembrados. La Sección 4 detalla esta distinción con mayor profundidad.</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60"/>
      </w:pPr>
      <w:r>
        <w:rPr>
          <w:sz w:val="22"/>
          <w:szCs w:val="22"/>
        </w:rPr>
        <w:t xml:space="preserve">Precisión metodológica sobre el 100%: los 8 casos sembrados fueron construidos deliberadamente con el patrón exacto que la regla busca (mismo proveedor-entidad-objeto, 3-6 compras en una ventana de pocos días, montos justo bajo el umbral). Este resultado valida que la regla está correctamente implementada — que hace lo que se diseñó para hacer — no que vaya a alcanzar 100% de precisión sobre datos reales no sembrados, donde el fraccionamiento real puede presentarse con patrones más sutiles o distintos (ver el Anexo A, donde sobre datos reales sin etiquetas la regla se usa como señal de riesgo para revisión de auditor, no como determinación automática).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P0200</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la regla sigue ganando, pero sí hay un mejor ajuste del modelo estadístico</w:t>
      </w:r>
    </w:p>
    <w:p>
      <w:pPr>
        <w:spacing w:after="160"/>
      </w:pPr>
      <w:r>
        <w:rPr>
          <w:sz w:val="22"/>
          <w:szCs w:val="22"/>
        </w:rPr>
        <w:t xml:space="preserve">Para Isolation Forest (no supervisado) se implementó una búsqueda en grilla de 36 combinaciones (n° de estimadores, fracción de muestras, tasa de contaminación), usando como métrica cuántos de los 8 casos sembrados caen en el top-8 del ranking de anomalía. Resultado: max_samples=0.8 alcanza 3/8 (37.5%), mejor que max_samples=1.0 (2/8, 25.0%) — a diferencia de una versión anterior de esta búsqueda, aquí sí hay un hiperparámetro con efecto real, y el modelo de producción se ajustó en consecuencia (ver src/modelo_fraccionamiento.py). Aun con ese ajuste, Isolation Forest se queda en 3/8 frente al 8/8 de la regla interpretable basada en el umbral legal — el hallazgo central del prototipo se mantiene: ningún ajuste de hiperparámetros iguala a la regla.</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(Delta Lake real disponible, ver evidencia)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Pendiente por límite de tamaño de archivo, no por imposibilidad técnica (ver explicación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GraphX/GraphFrames y Delta Lake requerían descargar un .jar desde Maven Central, dominio fuera de la lista de salida permitida aquí — y ambos se resolvieron (ver Sección 5 y evidencia abajo) descargando los .jar correctos fuera de este entorno y cargándolos manualmente.</w:t>
      </w:r>
    </w:p>
    <w:p>
      <w:pPr>
        <w:pStyle w:val="ListParagraph"/>
        <w:numPr>
          <w:ilvl w:val="0"/>
          <w:numId w:val="1"/>
        </w:numPr>
        <w:spacing w:after="80"/>
      </w:pPr>
      <w:r>
        <w:rPr>
          <w:sz w:val="22"/>
          <w:szCs w:val="22"/>
        </w:rPr>
        <w:t xml:space="preserve">Hadoop YARN/HDFS quedó pendiente por límites de tamaño de archivo (no por imposibilidad técnica de correr en una sola máquina — Apache documenta modo pseudo-distribuido) — ver explicación dedicada más abajo.</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2"/>
        <w:spacing w:after="100" w:before="200"/>
      </w:pPr>
      <w:r>
        <w:t xml:space="preserve">Evidencia: Delta Lake (ACID, historial de versiones, time travel, CDC/CDF)</w:t>
      </w:r>
    </w:p>
    <w:p>
      <w:pPr>
        <w:spacing w:after="160"/>
      </w:pPr>
      <w:r>
        <w:rPr>
          <w:sz w:val="22"/>
          <w:szCs w:val="22"/>
        </w:rPr>
        <w:t xml:space="preserve">Con los .jar correctos (io.delta:delta-spark_4.1_2.13:4.3.0 — nótese el sufijo de versión de Spark, obligatorio desde Delta Lake 4.1), la capa Bronce se reescribió como una tabla Delta Lake real, no Parquet plano. Se simuló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Capacidad verificada</w:t>
            </w:r>
          </w:p>
        </w:tc>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UPDATE transaccional (ACID)</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Aplicado correctamente, nueva versión creada automáticamente</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DESCRIBE HISTORY</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2 versiones registradas: WRITE (v0) y UPDATE (v1), con predicado exacto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Time travel (versionAsOf 0)</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Monto original (S/. 51,428.87) recuperado exacto, tras la corrección a S/. 69,428.97</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Change Data Feed (CDC/CDF)</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Preimage y postimage capturados fila por fila (update_preimage / update_postimage)</w:t>
            </w:r>
          </w:p>
        </w:tc>
      </w:tr>
    </w:tbl>
    <w:p>
      <w:pPr>
        <w:spacing w:after="160"/>
      </w:pPr>
      <w:r>
        <w:rPr>
          <w:sz w:val="4"/>
          <w:szCs w:val="4"/>
        </w:rPr>
        <w:t xml:space="preserve"/>
      </w:r>
    </w:p>
    <w:p>
      <w:pPr>
        <w:spacing w:after="160"/>
      </w:pPr>
      <w:r>
        <w:rPr>
          <w:sz w:val="22"/>
          <w:szCs w:val="22"/>
        </w:rPr>
        <w:t xml:space="preserve">Esto es lo que un CSV sobrescrito, o incluso Parquet plano, no puede ofrecer: la versión anterior de un dato sigue existiendo y es consultable sin backups manuales — si un funcionario corrige (o manipula) un monto después de que un auditor ya lo revisó, Delta Lake conserva evidencia exacta de cuál era el valor antes. Código en src/spark/lakehouse_delta.py.</w:t>
      </w:r>
    </w:p>
    <w:p>
      <w:pPr>
        <w:spacing w:after="160"/>
      </w:pPr>
      <w:r>
        <w:rPr>
          <w:sz w:val="22"/>
          <w:szCs w:val="22"/>
        </w:rPr>
        <w:t xml:space="preserve">Precisión importante: este historial NO es inmutable de forma permanente. El comando VACUUM elimina físicamente los archivos de versiones antiguas ya no referenciadas, según una política de retención configurable (por defecto, 7 días). Pasado ese período y tras ejecutar VACUUM, el time travel a esas versiones deja de funcionar. Para uso de auditoría, la política de retención debe configurarse explícitamente acorde al período que la CGR necesite conservar evidencia — potencialmente años, no el valor por defecto — y VACUUM no debe ejecutarse sin ese criterio en mente.</w:t>
      </w:r>
    </w:p>
    <w:p>
      <w:pPr>
        <w:pStyle w:val="Heading2"/>
        <w:spacing w:after="100" w:before="200"/>
      </w:pPr>
      <w:r>
        <w:t xml:space="preserve">Por qué Hadoop YARN/HDFS es un caso distinto (no un bloqueo de librería)</w:t>
      </w:r>
    </w:p>
    <w:p>
      <w:pPr>
        <w:spacing w:after="160"/>
      </w:pPr>
      <w:r>
        <w:rPr>
          <w:sz w:val="22"/>
          <w:szCs w:val="22"/>
        </w:rPr>
        <w:t xml:space="preserve">A diferencia de GraphFrames y Delta Lake, que fallaban por no poder descargar un .jar específico — un problema de red, resuelto obteniendo el archivo correcto por fuera — Hadoop YARN y HDFS no se completaron por una combinación de restricciones de tamaño de archivo, no por imposibilidad técnica de correr en una sola máquina. Aclaración importante: Apache documenta explícitamente un modo "pseudo-distribuido" (single-node) en el que HDFS y YARN corren sobre una sola máquina — esto es técnicamente viable y no requiere múltiples servidores físicos. Se investigó una alternativa liviana (org.apache.hadoop:hadoop-client-minicluster, 27.1 MB, la utilidad interna que el propio equipo de Hadoop usa para sus pruebas automatizadas) y se obtuvo el archivo, pero requiere además hadoop-client-runtime — un segundo .jar que empaqueta todas las dependencias de Hadoop (netty, guava, jetty, protobuf) y normalmente pesa 40-70 MB, de nuevo por encima del límite de archivo de este entorno. El tarball binario completo (que sí incluye los scripts para correr en modo pseudo-distribuido real, no solo las clases de prueba MiniDFSCluster/MiniYARNCluster) pesa 554 MB, igualmente inalcanzable aquí.</w:t>
      </w:r>
    </w:p>
    <w:p>
      <w:pPr>
        <w:spacing w:after="160"/>
      </w:pPr>
      <w:r>
        <w:rPr>
          <w:sz w:val="22"/>
          <w:szCs w:val="22"/>
        </w:rPr>
        <w:t xml:space="preserve">Lo que sí es una limitación real de fondo, independiente del tamaño de archivo: el beneficio característico de HDFS/YARN en producción — tolerancia a fallos vía replicación de bloques entre máquinas físicas distintas, y reparto de CPU/memoria entre esos mismos nodos — depende, por diseño, de que existan varias máquinas separadas. Un modo pseudo-distribuido de un solo nodo (que no se llegó a completar aquí) demostraría que los procesos de HDFS/YARN corren y se comunican correctamente, pero no demostraría ese beneficio de tolerancia a fallos ni de reparto real de carga entre máquinas — para eso sí hacen falta servidores físicos distintos, como los de la CGR. Esta es la pieza del Anexo 2 que queda pendiente de este entorno: no por ser técnicamente imposible en una sola máquina, sino porque no se logró descargar el paquete completo dentro del límite de tamaño de archivo disponible aquí.</w:t>
      </w:r>
    </w:p>
    <w:p>
      <w:pPr>
        <w:spacing w:after="160"/>
      </w:pPr>
      <w:r>
        <w:rPr>
          <w:sz w:val="22"/>
          <w:szCs w:val="22"/>
        </w:rPr>
        <w:t xml:space="preserve">Lo que sí cubre el mismo rol funcional dentro de este prototipo: Spark real (Sección 8) es el motor de cómputo que correría sobre YARN; Delta Lake real (evidencia arriba) es el motor de almacenamiento que correría sobre HDFS; y el particionamiento con poda de particiones (Sección 11) es la técnica que evita leer todo el disco, sea ese disco local o HDFS.</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real sobre Hadoop HDFS, según el Anexo 2 del TDR — la lógica de Delta Lake ya está verificada, falta el HDFS productivo detrás).</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con herramientas de licencia abierta, construidas como una contribución al control gubernamental y a la lucha anticorrupción.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754bf3b974bad932f4c28d4aaadd6641907d0e19.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2026-08-07T21:42:38.335Z</dcterms:created>
  <dcterms:modified xsi:type="dcterms:W3CDTF">2026-08-07T21:42:38.335Z</dcterms:modified>
</cp:coreProperties>
</file>

<file path=docProps/custom.xml><?xml version="1.0" encoding="utf-8"?>
<Properties xmlns="http://schemas.openxmlformats.org/officeDocument/2006/custom-properties" xmlns:vt="http://schemas.openxmlformats.org/officeDocument/2006/docPropsVTypes"/>
</file>