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3626_2457656124"/>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0.133,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3626_2457656124">
            <w:r>
              <w:rPr>
                <w:rStyle w:val="IndexLink"/>
              </w:rPr>
              <w:t>Resumen Ejecutivo</w:t>
              <w:tab/>
              <w:t>2</w:t>
            </w:r>
          </w:hyperlink>
        </w:p>
        <w:p>
          <w:pPr>
            <w:pStyle w:val="TOC1"/>
            <w:tabs>
              <w:tab w:val="clear" w:pos="9026"/>
              <w:tab w:val="right" w:pos="9025" w:leader="dot"/>
            </w:tabs>
            <w:rPr/>
          </w:pPr>
          <w:hyperlink w:anchor="__RefHeading___Toc3628_2457656124">
            <w:r>
              <w:rPr>
                <w:rStyle w:val="IndexLink"/>
              </w:rPr>
              <w:t>Índice de Tablas o Cuadros</w:t>
              <w:tab/>
              <w:t>2</w:t>
            </w:r>
          </w:hyperlink>
        </w:p>
        <w:p>
          <w:pPr>
            <w:pStyle w:val="TOC1"/>
            <w:tabs>
              <w:tab w:val="clear" w:pos="9026"/>
              <w:tab w:val="right" w:pos="9025" w:leader="dot"/>
            </w:tabs>
            <w:rPr/>
          </w:pPr>
          <w:hyperlink w:anchor="__RefHeading___Toc3630_2457656124">
            <w:r>
              <w:rPr>
                <w:rStyle w:val="IndexLink"/>
              </w:rPr>
              <w:t>Índice de Gráficos</w:t>
              <w:tab/>
              <w:t>2</w:t>
            </w:r>
          </w:hyperlink>
        </w:p>
        <w:p>
          <w:pPr>
            <w:pStyle w:val="TOC1"/>
            <w:tabs>
              <w:tab w:val="clear" w:pos="9026"/>
              <w:tab w:val="right" w:pos="9025" w:leader="dot"/>
            </w:tabs>
            <w:rPr/>
          </w:pPr>
          <w:hyperlink w:anchor="__RefHeading___Toc3632_2457656124">
            <w:r>
              <w:rPr>
                <w:rStyle w:val="IndexLink"/>
              </w:rPr>
              <w:t>Lista de Abreviaturas y Acrónimos</w:t>
              <w:tab/>
              <w:t>2</w:t>
            </w:r>
          </w:hyperlink>
        </w:p>
        <w:p>
          <w:pPr>
            <w:pStyle w:val="TOC1"/>
            <w:tabs>
              <w:tab w:val="clear" w:pos="9026"/>
              <w:tab w:val="right" w:pos="9025" w:leader="dot"/>
            </w:tabs>
            <w:rPr/>
          </w:pPr>
          <w:hyperlink w:anchor="__RefHeading___Toc3634_2457656124">
            <w:r>
              <w:rPr>
                <w:rStyle w:val="IndexLink"/>
              </w:rPr>
              <w:t>Glosario</w:t>
              <w:tab/>
              <w:t>3</w:t>
            </w:r>
          </w:hyperlink>
        </w:p>
        <w:p>
          <w:pPr>
            <w:pStyle w:val="TOC1"/>
            <w:tabs>
              <w:tab w:val="clear" w:pos="9026"/>
              <w:tab w:val="right" w:pos="9025" w:leader="dot"/>
            </w:tabs>
            <w:rPr/>
          </w:pPr>
          <w:hyperlink w:anchor="__RefHeading___Toc3636_2457656124">
            <w:r>
              <w:rPr>
                <w:rStyle w:val="IndexLink"/>
              </w:rPr>
              <w:t>1. Introducción</w:t>
              <w:tab/>
              <w:t>3</w:t>
            </w:r>
          </w:hyperlink>
        </w:p>
        <w:p>
          <w:pPr>
            <w:pStyle w:val="TOC1"/>
            <w:tabs>
              <w:tab w:val="clear" w:pos="9026"/>
              <w:tab w:val="right" w:pos="9025" w:leader="dot"/>
            </w:tabs>
            <w:rPr/>
          </w:pPr>
          <w:hyperlink w:anchor="__RefHeading___Toc3638_2457656124">
            <w:r>
              <w:rPr>
                <w:rStyle w:val="IndexLink"/>
              </w:rPr>
              <w:t>2. Objetivo de Consultoría</w:t>
              <w:tab/>
              <w:t>3</w:t>
            </w:r>
          </w:hyperlink>
        </w:p>
        <w:p>
          <w:pPr>
            <w:pStyle w:val="TOC1"/>
            <w:tabs>
              <w:tab w:val="clear" w:pos="9026"/>
              <w:tab w:val="right" w:pos="9025" w:leader="dot"/>
            </w:tabs>
            <w:rPr/>
          </w:pPr>
          <w:hyperlink w:anchor="__RefHeading___Toc3640_2457656124">
            <w:r>
              <w:rPr>
                <w:rStyle w:val="IndexLink"/>
              </w:rPr>
              <w:t>3. Productos Alcanzados</w:t>
              <w:tab/>
              <w:t>4</w:t>
            </w:r>
          </w:hyperlink>
        </w:p>
        <w:p>
          <w:pPr>
            <w:pStyle w:val="TOC2"/>
            <w:tabs>
              <w:tab w:val="clear" w:pos="8743"/>
              <w:tab w:val="right" w:pos="9025" w:leader="dot"/>
            </w:tabs>
            <w:rPr/>
          </w:pPr>
          <w:hyperlink w:anchor="__RefHeading___Toc3642_2457656124">
            <w:r>
              <w:rPr>
                <w:rStyle w:val="IndexLink"/>
              </w:rPr>
              <w:t>3.1 Patrones y tendencias identificadas</w:t>
              <w:tab/>
              <w:t>4</w:t>
            </w:r>
          </w:hyperlink>
        </w:p>
        <w:p>
          <w:pPr>
            <w:pStyle w:val="TOC2"/>
            <w:tabs>
              <w:tab w:val="clear" w:pos="8743"/>
              <w:tab w:val="right" w:pos="9025" w:leader="dot"/>
            </w:tabs>
            <w:rPr/>
          </w:pPr>
          <w:hyperlink w:anchor="__RefHeading___Toc3644_2457656124">
            <w:r>
              <w:rPr>
                <w:rStyle w:val="IndexLink"/>
              </w:rPr>
              <w:t>3.2 Análisis estadístico detallado</w:t>
              <w:tab/>
              <w:t>4</w:t>
            </w:r>
          </w:hyperlink>
        </w:p>
        <w:p>
          <w:pPr>
            <w:pStyle w:val="TOC2"/>
            <w:tabs>
              <w:tab w:val="clear" w:pos="8743"/>
              <w:tab w:val="right" w:pos="9025" w:leader="dot"/>
            </w:tabs>
            <w:rPr/>
          </w:pPr>
          <w:hyperlink w:anchor="__RefHeading___Toc3646_2457656124">
            <w:r>
              <w:rPr>
                <w:rStyle w:val="IndexLink"/>
              </w:rPr>
              <w:t>3.3 Propuesta fundamentada de algoritmos</w:t>
              <w:tab/>
              <w:t>4</w:t>
            </w:r>
          </w:hyperlink>
        </w:p>
        <w:p>
          <w:pPr>
            <w:pStyle w:val="TOC2"/>
            <w:tabs>
              <w:tab w:val="clear" w:pos="8743"/>
              <w:tab w:val="right" w:pos="9025" w:leader="dot"/>
            </w:tabs>
            <w:rPr/>
          </w:pPr>
          <w:hyperlink w:anchor="__RefHeading___Toc3648_2457656124">
            <w:r>
              <w:rPr>
                <w:rStyle w:val="IndexLink"/>
              </w:rPr>
              <w:t>3.4 Diseño y arquitectura</w:t>
              <w:tab/>
              <w:t>5</w:t>
            </w:r>
          </w:hyperlink>
        </w:p>
        <w:p>
          <w:pPr>
            <w:pStyle w:val="TOC2"/>
            <w:tabs>
              <w:tab w:val="clear" w:pos="8743"/>
              <w:tab w:val="right" w:pos="9025" w:leader="dot"/>
            </w:tabs>
            <w:rPr/>
          </w:pPr>
          <w:hyperlink w:anchor="__RefHeading___Toc3650_2457656124">
            <w:r>
              <w:rPr>
                <w:rStyle w:val="IndexLink"/>
              </w:rPr>
              <w:t>3.5 Reporte de implementación usando Apache Spark MLlib</w:t>
              <w:tab/>
              <w:t>5</w:t>
            </w:r>
          </w:hyperlink>
        </w:p>
        <w:p>
          <w:pPr>
            <w:pStyle w:val="TOC2"/>
            <w:tabs>
              <w:tab w:val="clear" w:pos="8743"/>
              <w:tab w:val="right" w:pos="9025" w:leader="dot"/>
            </w:tabs>
            <w:rPr/>
          </w:pPr>
          <w:hyperlink w:anchor="__RefHeading___Toc3652_2457656124">
            <w:r>
              <w:rPr>
                <w:rStyle w:val="IndexLink"/>
              </w:rPr>
              <w:t>3.6 Parámetros y configuraciones</w:t>
              <w:tab/>
              <w:t>5</w:t>
            </w:r>
          </w:hyperlink>
        </w:p>
        <w:p>
          <w:pPr>
            <w:pStyle w:val="TOC1"/>
            <w:tabs>
              <w:tab w:val="clear" w:pos="9026"/>
              <w:tab w:val="right" w:pos="9025" w:leader="dot"/>
            </w:tabs>
            <w:rPr/>
          </w:pPr>
          <w:hyperlink w:anchor="__RefHeading___Toc3654_2457656124">
            <w:r>
              <w:rPr>
                <w:rStyle w:val="IndexLink"/>
              </w:rPr>
              <w:t>4. Actividades Realizadas</w:t>
              <w:tab/>
              <w:t>5</w:t>
            </w:r>
          </w:hyperlink>
        </w:p>
        <w:p>
          <w:pPr>
            <w:pStyle w:val="TOC1"/>
            <w:tabs>
              <w:tab w:val="clear" w:pos="9026"/>
              <w:tab w:val="right" w:pos="9025" w:leader="dot"/>
            </w:tabs>
            <w:rPr/>
          </w:pPr>
          <w:hyperlink w:anchor="__RefHeading___Toc3656_2457656124">
            <w:r>
              <w:rPr>
                <w:rStyle w:val="IndexLink"/>
              </w:rPr>
              <w:t>5. Grado de Cumplimiento del Producto</w:t>
              <w:tab/>
              <w:t>5</w:t>
            </w:r>
          </w:hyperlink>
        </w:p>
        <w:p>
          <w:pPr>
            <w:pStyle w:val="TOC1"/>
            <w:tabs>
              <w:tab w:val="clear" w:pos="9026"/>
              <w:tab w:val="right" w:pos="9025" w:leader="dot"/>
            </w:tabs>
            <w:rPr/>
          </w:pPr>
          <w:hyperlink w:anchor="__RefHeading___Toc3658_2457656124">
            <w:r>
              <w:rPr>
                <w:rStyle w:val="IndexLink"/>
              </w:rPr>
              <w:t>6. Dificultades y Limitaciones Encontradas</w:t>
              <w:tab/>
              <w:t>5</w:t>
            </w:r>
          </w:hyperlink>
        </w:p>
        <w:p>
          <w:pPr>
            <w:pStyle w:val="TOC1"/>
            <w:tabs>
              <w:tab w:val="clear" w:pos="9026"/>
              <w:tab w:val="right" w:pos="9025" w:leader="dot"/>
            </w:tabs>
            <w:rPr/>
          </w:pPr>
          <w:hyperlink w:anchor="__RefHeading___Toc3660_2457656124">
            <w:r>
              <w:rPr>
                <w:rStyle w:val="IndexLink"/>
              </w:rPr>
              <w:t>7. Conclusiones y Recomendaciones</w:t>
              <w:tab/>
              <w:t>5</w:t>
            </w:r>
          </w:hyperlink>
        </w:p>
        <w:p>
          <w:pPr>
            <w:pStyle w:val="TOC1"/>
            <w:tabs>
              <w:tab w:val="clear" w:pos="9026"/>
              <w:tab w:val="right" w:pos="9025" w:leader="dot"/>
            </w:tabs>
            <w:rPr/>
          </w:pPr>
          <w:hyperlink w:anchor="__RefHeading___Toc3662_2457656124">
            <w:r>
              <w:rPr>
                <w:rStyle w:val="IndexLink"/>
              </w:rPr>
              <w:t>8. Anexos</w:t>
              <w:tab/>
              <w:t>6</w:t>
            </w:r>
          </w:hyperlink>
        </w:p>
        <w:p>
          <w:pPr>
            <w:pStyle w:val="TOC1"/>
            <w:tabs>
              <w:tab w:val="clear" w:pos="9026"/>
              <w:tab w:val="right" w:pos="9025" w:leader="dot"/>
            </w:tabs>
            <w:rPr/>
          </w:pPr>
          <w:hyperlink w:anchor="__RefHeading___Toc3664_2457656124">
            <w:r>
              <w:rPr>
                <w:rStyle w:val="IndexLink"/>
              </w:rPr>
              <w:t>ANEXO TÉCNICO — PAGOS, MODALIDADES Y ARQUITECTURA OPERACIONAL</w:t>
              <w:tab/>
              <w:t>6</w:t>
            </w:r>
          </w:hyperlink>
        </w:p>
        <w:p>
          <w:pPr>
            <w:pStyle w:val="TOC2"/>
            <w:tabs>
              <w:tab w:val="clear" w:pos="8743"/>
              <w:tab w:val="right" w:pos="9025" w:leader="dot"/>
            </w:tabs>
            <w:rPr/>
          </w:pPr>
          <w:hyperlink w:anchor="__RefHeading___Toc3666_2457656124">
            <w:r>
              <w:rPr>
                <w:rStyle w:val="IndexLink"/>
              </w:rPr>
              <w:t>Resultados reproducibles de pagos y modalidades</w:t>
              <w:tab/>
              <w:t>6</w:t>
            </w:r>
          </w:hyperlink>
        </w:p>
        <w:p>
          <w:pPr>
            <w:pStyle w:val="TOC2"/>
            <w:tabs>
              <w:tab w:val="clear" w:pos="8743"/>
              <w:tab w:val="right" w:pos="9025" w:leader="dot"/>
            </w:tabs>
            <w:rPr/>
          </w:pPr>
          <w:hyperlink w:anchor="__RefHeading___Toc3668_2457656124">
            <w:r>
              <w:rPr>
                <w:rStyle w:val="IndexLink"/>
              </w:rPr>
              <w:t>Distribución de pagos</w:t>
              <w:tab/>
              <w:t>6</w:t>
            </w:r>
          </w:hyperlink>
        </w:p>
        <w:p>
          <w:pPr>
            <w:pStyle w:val="TOC2"/>
            <w:tabs>
              <w:tab w:val="clear" w:pos="8743"/>
              <w:tab w:val="right" w:pos="9025" w:leader="dot"/>
            </w:tabs>
            <w:rPr/>
          </w:pPr>
          <w:hyperlink w:anchor="__RefHeading___Toc3670_2457656124">
            <w:r>
              <w:rPr>
                <w:rStyle w:val="IndexLink"/>
              </w:rPr>
              <w:t>Modalidades por régimen</w:t>
              <w:tab/>
              <w:t>7</w:t>
            </w:r>
          </w:hyperlink>
        </w:p>
        <w:p>
          <w:pPr>
            <w:pStyle w:val="TOC2"/>
            <w:tabs>
              <w:tab w:val="clear" w:pos="8743"/>
              <w:tab w:val="right" w:pos="9025" w:leader="dot"/>
            </w:tabs>
            <w:rPr/>
          </w:pPr>
          <w:hyperlink w:anchor="__RefHeading___Toc3672_2457656124">
            <w:r>
              <w:rPr>
                <w:rStyle w:val="IndexLink"/>
              </w:rPr>
              <w:t>Arquitectura operacional Spark-native</w:t>
              <w:tab/>
              <w:t>7</w:t>
            </w:r>
          </w:hyperlink>
        </w:p>
        <w:p>
          <w:pPr>
            <w:pStyle w:val="TOC2"/>
            <w:tabs>
              <w:tab w:val="clear" w:pos="8743"/>
              <w:tab w:val="right" w:pos="9025" w:leader="dot"/>
            </w:tabs>
            <w:rPr/>
          </w:pPr>
          <w:hyperlink w:anchor="__RefHeading___Toc3674_2457656124">
            <w:r>
              <w:rPr>
                <w:rStyle w:val="IndexLink"/>
              </w:rPr>
              <w:t>Limitación institucional</w:t>
              <w:tab/>
              <w:t>7</w:t>
            </w:r>
          </w:hyperlink>
        </w:p>
        <w:p>
          <w:pPr>
            <w:pStyle w:val="TOC1"/>
            <w:tabs>
              <w:tab w:val="clear" w:pos="9026"/>
              <w:tab w:val="right" w:pos="9025" w:leader="dot"/>
            </w:tabs>
            <w:rPr/>
          </w:pPr>
          <w:hyperlink w:anchor="__RefHeading___Toc3676_2457656124">
            <w:r>
              <w:rPr>
                <w:rStyle w:val="IndexLink"/>
              </w:rPr>
              <w:t>Referencias Bibliográficas</w:t>
              <w:tab/>
              <w:t>7</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3628_2457656124"/>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3630_2457656124"/>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3632_2457656124"/>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3634_2457656124"/>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3636_2457656124"/>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3638_2457656124"/>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3640_2457656124"/>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3642_2457656124"/>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644_2457656124"/>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0.659</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0.133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646_2457656124"/>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648_2457656124"/>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650_2457656124"/>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la evidencia out-of-sample del KMeans se publica en tuning_fraccionamiento_spark_resumen.json. No estima desempeño productivo.</w:t>
            </w:r>
          </w:p>
        </w:tc>
      </w:tr>
    </w:tbl>
    <w:p>
      <w:pPr>
        <w:pStyle w:val="Heading2"/>
        <w:spacing w:lineRule="exact" w:line="240" w:before="180" w:after="80"/>
        <w:rPr/>
      </w:pPr>
      <w:bookmarkStart w:id="13" w:name="__RefHeading___Toc3652_2457656124"/>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max_samples=0.8, contamination=0.05.</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654_2457656124"/>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656_2457656124"/>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658_2457656124"/>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24 positivos sintéticos y 7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660_2457656124"/>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662_2457656124"/>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auto" w:line="240" w:before="0" w:after="60"/>
        <w:rPr/>
      </w:pPr>
      <w:bookmarkStart w:id="19" w:name="__RefHeading___Toc3664_2457656124"/>
      <w:bookmarkEnd w:id="19"/>
      <w:r>
        <w:rPr>
          <w:rFonts w:ascii="Arial" w:hAnsi="Arial"/>
          <w:b/>
          <w:sz w:val="22"/>
        </w:rPr>
        <w:t>ANEXO TÉCNICO — PAGOS, MODALIDADES Y ARQUITECTURA OPERACIONAL</w:t>
      </w:r>
    </w:p>
    <w:p>
      <w:pPr>
        <w:pStyle w:val="Normal"/>
        <w:spacing w:lineRule="auto" w:line="240" w:before="0" w:after="60"/>
        <w:jc w:val="both"/>
        <w:rPr/>
      </w:pPr>
      <w:r>
        <w:rPr>
          <w:sz w:val="22"/>
        </w:rPr>
        <w:t>Este anexo cubre el análisis estadístico/exploratorio de pagos, montos contractuales y modalidades y actualiza la descripción de la arquitectura operacional. La evidencia de pagos usa datos sintéticos vinculados a contratos sintéticos; no representa información SIAF real ni determina la legalidad de una modalidad.</w:t>
      </w:r>
    </w:p>
    <w:p>
      <w:pPr>
        <w:pStyle w:val="Heading2"/>
        <w:spacing w:lineRule="auto" w:line="240" w:before="0" w:after="60"/>
        <w:rPr/>
      </w:pPr>
      <w:bookmarkStart w:id="20" w:name="__RefHeading___Toc3666_2457656124"/>
      <w:bookmarkEnd w:id="20"/>
      <w:r>
        <w:rPr>
          <w:rFonts w:ascii="Arial" w:hAnsi="Arial"/>
          <w:b/>
          <w:sz w:val="22"/>
        </w:rPr>
        <w:t>Resultados reproducibles de pagos y modalidades</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Indicador</w:t>
            </w:r>
          </w:p>
        </w:tc>
        <w:tc>
          <w:tcPr>
            <w:tcW w:w="4512"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Resultado</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sintéticos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7790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analizados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4296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huérfanos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con pago parcial</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515</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pendientes sin pago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261</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Señales de sobrepago a revisar</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93</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Demora P90 devengado→pagado (días)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28.0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especiales no inferibles solo por cuantía</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1601</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que requieren revisión de contexto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1565</w:t>
            </w:r>
          </w:p>
        </w:tc>
      </w:tr>
    </w:tbl>
    <w:p>
      <w:pPr>
        <w:pStyle w:val="Normal"/>
        <w:spacing w:lineRule="auto" w:line="240" w:before="0" w:after="60"/>
        <w:jc w:val="both"/>
        <w:rPr/>
      </w:pPr>
      <w:r>
        <w:rPr>
          <w:sz w:val="22"/>
        </w:rPr>
        <w:t>La comparación de modalidades frente a cuantía es únicamente referencial. Contratación Directa, Comparación de Precios, Subasta Inversa, acuerdos marco y otros supuestos pueden depender de condiciones que no se deducen del monto por sí solo; 'requiere revisión de contexto' no equivale a irregularidad.</w:t>
      </w:r>
    </w:p>
    <w:p>
      <w:pPr>
        <w:pStyle w:val="Heading2"/>
        <w:spacing w:lineRule="auto" w:line="240" w:before="0" w:after="60"/>
        <w:rPr/>
      </w:pPr>
      <w:bookmarkStart w:id="21" w:name="__RefHeading___Toc3668_2457656124"/>
      <w:bookmarkEnd w:id="21"/>
      <w:r>
        <w:rPr>
          <w:rFonts w:ascii="Arial" w:hAnsi="Arial"/>
          <w:b/>
          <w:sz w:val="22"/>
        </w:rPr>
        <w:t>Distribución de pagos</w:t>
      </w:r>
    </w:p>
    <w:p>
      <w:pPr>
        <w:pStyle w:val="Normal"/>
        <w:spacing w:lineRule="auto" w:line="240" w:before="0" w:after="60"/>
        <w:jc w:val="center"/>
        <w:rPr/>
      </w:pPr>
      <w:r>
        <w:rPr/>
        <w:drawing>
          <wp:inline distT="0" distB="0" distL="0" distR="0">
            <wp:extent cx="5577840" cy="31502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6"/>
                    <a:stretch>
                      <a:fillRect/>
                    </a:stretch>
                  </pic:blipFill>
                  <pic:spPr bwMode="auto">
                    <a:xfrm>
                      <a:off x="0" y="0"/>
                      <a:ext cx="5577840" cy="3150235"/>
                    </a:xfrm>
                    <a:prstGeom prst="rect">
                      <a:avLst/>
                    </a:prstGeom>
                  </pic:spPr>
                </pic:pic>
              </a:graphicData>
            </a:graphic>
          </wp:inline>
        </w:drawing>
      </w:r>
    </w:p>
    <w:p>
      <w:pPr>
        <w:pStyle w:val="Heading2"/>
        <w:spacing w:lineRule="auto" w:line="240" w:before="0" w:after="60"/>
        <w:rPr/>
      </w:pPr>
      <w:bookmarkStart w:id="22" w:name="__RefHeading___Toc3670_2457656124"/>
      <w:bookmarkEnd w:id="22"/>
      <w:r>
        <w:rPr>
          <w:rFonts w:ascii="Arial" w:hAnsi="Arial"/>
          <w:b/>
          <w:sz w:val="22"/>
        </w:rPr>
        <w:t>Modalidades por régimen</w:t>
      </w:r>
    </w:p>
    <w:p>
      <w:pPr>
        <w:pStyle w:val="Normal"/>
        <w:spacing w:lineRule="auto" w:line="240" w:before="0" w:after="60"/>
        <w:jc w:val="center"/>
        <w:rPr/>
      </w:pPr>
      <w:r>
        <w:rPr/>
        <w:drawing>
          <wp:inline distT="0" distB="0" distL="0" distR="0">
            <wp:extent cx="5577840" cy="322262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7"/>
                    <a:stretch>
                      <a:fillRect/>
                    </a:stretch>
                  </pic:blipFill>
                  <pic:spPr bwMode="auto">
                    <a:xfrm>
                      <a:off x="0" y="0"/>
                      <a:ext cx="5577840" cy="3222625"/>
                    </a:xfrm>
                    <a:prstGeom prst="rect">
                      <a:avLst/>
                    </a:prstGeom>
                  </pic:spPr>
                </pic:pic>
              </a:graphicData>
            </a:graphic>
          </wp:inline>
        </w:drawing>
      </w:r>
    </w:p>
    <w:p>
      <w:pPr>
        <w:pStyle w:val="Heading2"/>
        <w:spacing w:lineRule="auto" w:line="240" w:before="0" w:after="60"/>
        <w:rPr/>
      </w:pPr>
      <w:bookmarkStart w:id="23" w:name="__RefHeading___Toc3672_2457656124"/>
      <w:bookmarkEnd w:id="23"/>
      <w:r>
        <w:rPr>
          <w:rFonts w:ascii="Arial" w:hAnsi="Arial"/>
          <w:b/>
          <w:sz w:val="22"/>
        </w:rPr>
        <w:t>Arquitectura operacional Spark-native</w:t>
      </w:r>
    </w:p>
    <w:p>
      <w:pPr>
        <w:pStyle w:val="Normal"/>
        <w:spacing w:lineRule="auto" w:line="240" w:before="0" w:after="60"/>
        <w:jc w:val="both"/>
        <w:rPr/>
      </w:pPr>
      <w:r>
        <w:rPr>
          <w:sz w:val="22"/>
        </w:rPr>
        <w:t>La evidencia histórica de modelado Spark se conserva en modo local[*] para reproducibilidad. En paralelo, la ruta operacional TRAIN/INFERENCE admite un master Spark configurable. Cuando source.type=spark_sql, el conector devuelve un Spark DataFrame y el mapping, validación, preprocesamiento, feature engineering y MLlib permanecen en Spark sin toPandas(). Las medianas por objeto aprendidas en TRAIN se persisten como Parquet distribuido y los rankings de INFERENCE se escriben también como Parquet distribuido.</w:t>
      </w:r>
    </w:p>
    <w:p>
      <w:pPr>
        <w:pStyle w:val="Normal"/>
        <w:spacing w:lineRule="auto" w:line="240" w:before="0" w:after="60"/>
        <w:jc w:val="both"/>
        <w:rPr/>
      </w:pPr>
      <w:r>
        <w:rPr>
          <w:sz w:val="22"/>
        </w:rPr>
        <w:t>Esta capacidad elimina el cuello de botella pandas del adaptador Spark anterior, pero no sustituye las pruebas de carga, particionamiento, seguridad, rendimiento y robustez que deben ejecutarse con el clúster y volumen institucionales reales.</w:t>
      </w:r>
    </w:p>
    <w:p>
      <w:pPr>
        <w:pStyle w:val="Heading2"/>
        <w:spacing w:lineRule="auto" w:line="240" w:before="0" w:after="60"/>
        <w:rPr/>
      </w:pPr>
      <w:bookmarkStart w:id="24" w:name="__RefHeading___Toc3674_2457656124"/>
      <w:bookmarkEnd w:id="24"/>
      <w:r>
        <w:rPr>
          <w:rFonts w:ascii="Arial" w:hAnsi="Arial"/>
          <w:b/>
          <w:sz w:val="22"/>
        </w:rPr>
        <w:t>Limitación institucional</w:t>
      </w:r>
    </w:p>
    <w:p>
      <w:pPr>
        <w:pStyle w:val="Normal"/>
        <w:spacing w:lineRule="auto" w:line="240" w:before="0" w:after="60"/>
        <w:jc w:val="both"/>
        <w:rPr/>
      </w:pPr>
      <w:r>
        <w:rPr>
          <w:sz w:val="22"/>
        </w:rPr>
        <w:t>El cierre literal con pagos SIAF/SEACE, tablas/vistas reales, ground truth, permisos, clúster, DEV/QA/PROD, SQL Server/SSRS, certificación y conformidad depende de la CGR y permanece registrado en el catálogo de dependencias institucionales.</w:t>
      </w:r>
    </w:p>
    <w:p>
      <w:pPr>
        <w:pStyle w:val="Heading1"/>
        <w:spacing w:lineRule="exact" w:line="240" w:before="240" w:after="120"/>
        <w:rPr/>
      </w:pPr>
      <w:bookmarkStart w:id="25" w:name="__RefHeading___Toc3676_2457656124"/>
      <w:bookmarkEnd w:id="25"/>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8"/>
      <w:footerReference w:type="default" r:id="rId9"/>
      <w:footerReference w:type="first" r:id="rId10"/>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header" Target="header1.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2026-08-11T02:23:16Z</dcterms:created>
  <dc:creator>Noé Calle</dc:creator>
  <dc:description>PROTOTIPO INDEPENDIENTE - no constituye una implementación oficial ni cuenta con aprobación institucional de la CGR.</dc:description>
  <dc:language>en-US</dc:language>
  <cp:lastModifiedBy/>
  <dcterms:modified xsi:type="dcterms:W3CDTF">2026-08-11T02:23:21Z</dcterms:modified>
  <cp:revision>2</cp:revision>
  <dc:subject/>
  <dc:title>Selección del Algoritmo y Desarrollo del Modelo para Detección de Fraccionamiento - Prototipo independiente CGR 1.8.2</dc:title>
</cp:coreProperties>
</file>