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footer5.xml" ContentType="application/vnd.openxmlformats-officedocument.wordprocessingml.footer+xml"/>
  <Override PartName="/word/media/image1.png" ContentType="image/png"/>
  <Override PartName="/word/media/image2.png" ContentType="image/png"/>
  <Override PartName="/word/footer4.xml" ContentType="application/vnd.openxmlformats-officedocument.wordprocessingml.footer+xml"/>
  <Override PartName="/word/settings.xml" ContentType="application/vnd.openxmlformats-officedocument.wordprocessingml.settings+xml"/>
  <Override PartName="/word/footer3.xml" ContentType="application/vnd.openxmlformats-officedocument.wordprocessingml.footer+xml"/>
  <Override PartName="/word/theme/theme1.xml" ContentType="application/vnd.openxmlformats-officedocument.theme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oter1.xml" ContentType="application/vnd.openxmlformats-officedocument.wordprocessingml.footer+xml"/>
  <Override PartName="/word/styles.xml" ContentType="application/vnd.openxmlformats-officedocument.wordprocessingml.styles+xml"/>
  <Override PartName="/word/document.xml" ContentType="application/vnd.openxmlformats-officedocument.wordprocessingml.document.main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lineRule="exact" w:line="240" w:before="400" w:after="0"/>
        <w:rPr/>
      </w:pPr>
      <w:r>
        <w:rPr/>
      </w:r>
    </w:p>
    <w:p>
      <w:pPr>
        <w:pStyle w:val="Normal"/>
        <w:keepNext w:val="false"/>
        <w:spacing w:lineRule="exact" w:line="240" w:before="0" w:after="1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CONTRALORÍA GENERAL DE LA REPÚBLICA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[Espacio reservado para el logo oficial CGR en una entrega institucional autorizada]</w:t>
      </w:r>
    </w:p>
    <w:p>
      <w:pPr>
        <w:pStyle w:val="Normal"/>
        <w:keepNext w:val="false"/>
        <w:spacing w:lineRule="exact" w:line="240" w:before="0" w:after="18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PRODUCTO N.° 2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Limpieza y Preprocesamiento de Datos para Identificación de Proveedores Favoritos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Nombre de la consultoría: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color w:val="000000"/>
          <w:sz w:val="22"/>
          <w:szCs w:val="22"/>
        </w:rPr>
        <w:t>CONTRATACIÓN DE UN CONSULTOR CIENTÍFICO DE DATOS PARA EL DESARROLLO DEL "MÓDULO DE ANÁLISIS DE DATOS PARA DAR SOPORTE A LOS AUDITORES DURANTE LA EJECUCIÓN DE LOS SERVICIOS DE CONTROL" EN EL SISTEMA INTEGRADO DE CONTROL DEL PROYECTO INTERNO 1.8.2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Consultor: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Noé Calle</w:t>
      </w:r>
    </w:p>
    <w:p>
      <w:pPr>
        <w:pStyle w:val="Normal"/>
        <w:keepNext w:val="false"/>
        <w:spacing w:lineRule="exact" w:line="240" w:before="0" w:after="26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PROTOTIPO INDEPENDIENTE - no constituye una implementación oficial ni cuenta con aprobación institucional de la CGR.</w:t>
      </w:r>
    </w:p>
    <w:p>
      <w:pPr>
        <w:pStyle w:val="Normal"/>
        <w:keepNext w:val="false"/>
        <w:spacing w:lineRule="exact" w:line="240" w:before="0" w:after="30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Repositorio de código y documentación:</w:t>
      </w:r>
    </w:p>
    <w:p>
      <w:pPr>
        <w:pStyle w:val="Normal"/>
        <w:keepNext w:val="false"/>
        <w:spacing w:lineRule="exact" w:line="240" w:before="0" w:after="240"/>
        <w:jc w:val="center"/>
        <w:rPr/>
      </w:pPr>
      <w:r>
        <w:rPr>
          <w:rFonts w:eastAsia="Arial" w:cs="Arial"/>
          <w:color w:val="000000"/>
          <w:sz w:val="22"/>
          <w:szCs w:val="22"/>
        </w:rPr>
        <w:t>https://github.com/NoeCalle/cgr-analisis-datos</w:t>
      </w:r>
    </w:p>
    <w:p>
      <w:pPr>
        <w:sectPr>
          <w:footerReference w:type="even" r:id="rId2"/>
          <w:footerReference w:type="default" r:id="rId3"/>
          <w:footerReference w:type="first" r:id="rId4"/>
          <w:type w:val="nextPage"/>
          <w:pgSz w:w="11906" w:h="16838"/>
          <w:pgMar w:left="1440" w:right="1440" w:gutter="0" w:header="0" w:top="1440" w:footer="708" w:bottom="1440"/>
          <w:pgNumType w:fmt="decimal"/>
          <w:formProt w:val="false"/>
          <w:textDirection w:val="lrTb"/>
          <w:docGrid w:type="default" w:linePitch="360" w:charSpace="4096"/>
        </w:sectPr>
        <w:pStyle w:val="Normal"/>
        <w:keepNext w:val="false"/>
        <w:spacing w:lineRule="exact" w:line="240" w:before="0" w:after="80"/>
        <w:jc w:val="center"/>
        <w:rPr/>
      </w:pPr>
      <w:r>
        <w:rPr>
          <w:rFonts w:eastAsia="Arial" w:cs="Arial"/>
          <w:color w:val="000000"/>
          <w:sz w:val="22"/>
          <w:szCs w:val="22"/>
        </w:rPr>
        <w:t>Fecha de presentación: agosto de 2026</w:t>
      </w:r>
    </w:p>
    <w:p>
      <w:pPr>
        <w:pStyle w:val="Heading1"/>
        <w:spacing w:lineRule="exact" w:line="240" w:before="240" w:after="120"/>
        <w:rPr/>
      </w:pPr>
      <w:bookmarkStart w:id="0" w:name="__RefHeading___Toc1454_1296911271"/>
      <w:bookmarkEnd w:id="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Resumen Ejecutivo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Se procesaron 3,709 contratos sintéticos para construir 2,328 pares proveedor-entidad, con 6 casos positivos sembrados. El flujo implementa limpieza, tratamiento de outliers, transformación, feature engineering y una división reproducible de datos.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Nota metodológica: las métricas del benchmark sintético evalúan la coherencia del PoC y no estiman desempeño productivo. Las salidas sobre datos públicos son señales de priorización para revisión humana y no constituyen hallazgos ni determinaciones automáticas de irregularidad.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uppressLineNumbers/>
            <w:spacing w:lineRule="auto" w:line="240" w:before="0" w:after="0"/>
            <w:ind w:hanging="0" w:left="0"/>
            <w:rPr>
              <w:rFonts w:ascii="Arial" w:hAnsi="Arial" w:eastAsia="Arial" w:cs="Arial"/>
              <w:b/>
              <w:bCs/>
              <w:sz w:val="22"/>
              <w:szCs w:val="22"/>
            </w:rPr>
          </w:pPr>
          <w:r>
            <w:rPr>
              <w:rFonts w:eastAsia="Arial" w:cs="Arial"/>
              <w:b/>
              <w:bCs/>
              <w:sz w:val="22"/>
              <w:szCs w:val="22"/>
            </w:rPr>
            <w:t>Índice</w:t>
          </w:r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r>
            <w:fldChar w:fldCharType="begin"/>
          </w:r>
          <w:r>
            <w:rPr>
              <w:rStyle w:val="IndexLink"/>
            </w:rPr>
            <w:instrText xml:space="preserve"> TOC \f \o "1-3" \h</w:instrText>
          </w:r>
          <w:r>
            <w:rPr>
              <w:rStyle w:val="IndexLink"/>
            </w:rPr>
            <w:fldChar w:fldCharType="separate"/>
          </w:r>
          <w:hyperlink w:anchor="__RefHeading___Toc1454_1296911271">
            <w:r>
              <w:rPr>
                <w:rStyle w:val="IndexLink"/>
              </w:rPr>
              <w:t>Resumen Ejecutivo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6_1296911271">
            <w:r>
              <w:rPr>
                <w:rStyle w:val="IndexLink"/>
              </w:rPr>
              <w:t>Índice de Tablas o Cuadros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58_1296911271">
            <w:r>
              <w:rPr>
                <w:rStyle w:val="IndexLink"/>
              </w:rPr>
              <w:t>Índice de Gráficos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0_1296911271">
            <w:r>
              <w:rPr>
                <w:rStyle w:val="IndexLink"/>
              </w:rPr>
              <w:t>Lista de Abreviaturas y Acrónimos</w:t>
              <w:tab/>
              <w:t>2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2_1296911271">
            <w:r>
              <w:rPr>
                <w:rStyle w:val="IndexLink"/>
              </w:rPr>
              <w:t>Glosario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4_1296911271">
            <w:r>
              <w:rPr>
                <w:rStyle w:val="IndexLink"/>
              </w:rPr>
              <w:t>1. Introducción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6_1296911271">
            <w:r>
              <w:rPr>
                <w:rStyle w:val="IndexLink"/>
              </w:rPr>
              <w:t>2. Objetivo de Consultoría</w:t>
              <w:tab/>
              <w:t>3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68_1296911271">
            <w:r>
              <w:rPr>
                <w:rStyle w:val="IndexLink"/>
              </w:rPr>
              <w:t>3. Productos Alcanzados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0_1296911271">
            <w:r>
              <w:rPr>
                <w:rStyle w:val="IndexLink"/>
              </w:rPr>
              <w:t>3.1 Imputación y calidad de datos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2_1296911271">
            <w:r>
              <w:rPr>
                <w:rStyle w:val="IndexLink"/>
              </w:rPr>
              <w:t>3.2 Tratamiento de outliers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4_1296911271">
            <w:r>
              <w:rPr>
                <w:rStyle w:val="IndexLink"/>
              </w:rPr>
              <w:t>3.3 Codificación y normalización</w:t>
              <w:tab/>
              <w:t>4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6_1296911271">
            <w:r>
              <w:rPr>
                <w:rStyle w:val="IndexLink"/>
              </w:rPr>
              <w:t>3.4 Feature engineering</w:t>
              <w:tab/>
              <w:t>5</w:t>
            </w:r>
          </w:hyperlink>
        </w:p>
        <w:p>
          <w:pPr>
            <w:pStyle w:val="TOC2"/>
            <w:tabs>
              <w:tab w:val="clear" w:pos="8743"/>
              <w:tab w:val="right" w:pos="9025" w:leader="dot"/>
            </w:tabs>
            <w:rPr/>
          </w:pPr>
          <w:hyperlink w:anchor="__RefHeading___Toc1478_1296911271">
            <w:r>
              <w:rPr>
                <w:rStyle w:val="IndexLink"/>
              </w:rPr>
              <w:t>3.5 División y publicación de datos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0_1296911271">
            <w:r>
              <w:rPr>
                <w:rStyle w:val="IndexLink"/>
              </w:rPr>
              <w:t>4. Actividades Realizadas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2_1296911271">
            <w:r>
              <w:rPr>
                <w:rStyle w:val="IndexLink"/>
              </w:rPr>
              <w:t>5. Grado de Cumplimiento del Producto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4_1296911271">
            <w:r>
              <w:rPr>
                <w:rStyle w:val="IndexLink"/>
              </w:rPr>
              <w:t>6. Dificultades y Limitaciones Encontradas</w:t>
              <w:tab/>
              <w:t>5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6_1296911271">
            <w:r>
              <w:rPr>
                <w:rStyle w:val="IndexLink"/>
              </w:rPr>
              <w:t>7. Conclusiones y Recomendaciones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88_1296911271">
            <w:r>
              <w:rPr>
                <w:rStyle w:val="IndexLink"/>
              </w:rPr>
              <w:t>8. Anexos</w:t>
              <w:tab/>
              <w:t>6</w:t>
            </w:r>
          </w:hyperlink>
        </w:p>
        <w:p>
          <w:pPr>
            <w:pStyle w:val="TOC1"/>
            <w:tabs>
              <w:tab w:val="clear" w:pos="9026"/>
              <w:tab w:val="right" w:pos="9025" w:leader="dot"/>
            </w:tabs>
            <w:rPr/>
          </w:pPr>
          <w:hyperlink w:anchor="__RefHeading___Toc1490_1296911271">
            <w:r>
              <w:rPr>
                <w:rStyle w:val="IndexLink"/>
              </w:rPr>
              <w:t>Referencias Bibliográficas</w:t>
              <w:tab/>
              <w:t>6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Normal"/>
        <w:spacing w:lineRule="exact" w:line="240" w:before="0" w:after="120"/>
        <w:rPr>
          <w:rFonts w:ascii="Arial" w:hAnsi="Arial" w:eastAsia="Arial" w:cs="Arial"/>
          <w:color w:val="000000"/>
          <w:sz w:val="22"/>
          <w:szCs w:val="22"/>
        </w:rPr>
      </w:pPr>
      <w:r>
        <w:rPr/>
      </w:r>
    </w:p>
    <w:p>
      <w:pPr>
        <w:pStyle w:val="Heading1"/>
        <w:spacing w:lineRule="exact" w:line="240" w:before="240" w:after="120"/>
        <w:rPr/>
      </w:pPr>
      <w:bookmarkStart w:id="1" w:name="__RefHeading___Toc1456_1296911271"/>
      <w:bookmarkEnd w:id="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Tablas o Cuadros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Resumen de calidad y preparación del benchmark de favoritismo</w:t>
      </w:r>
    </w:p>
    <w:p>
      <w:pPr>
        <w:pStyle w:val="Heading1"/>
        <w:spacing w:lineRule="exact" w:line="240" w:before="240" w:after="120"/>
        <w:rPr/>
      </w:pPr>
      <w:bookmarkStart w:id="2" w:name="__RefHeading___Toc1458_1296911271"/>
      <w:bookmarkEnd w:id="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Índice de Gráficos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1. Distribución de montos contractuales</w:t>
      </w:r>
    </w:p>
    <w:p>
      <w:pPr>
        <w:pStyle w:val="Normal"/>
        <w:keepNext w:val="false"/>
        <w:spacing w:lineRule="exact" w:line="240" w:before="0" w:after="35"/>
        <w:jc w:val="left"/>
        <w:rPr/>
      </w:pPr>
      <w:r>
        <w:rPr>
          <w:rFonts w:eastAsia="Arial" w:cs="Arial"/>
          <w:color w:val="000000"/>
          <w:sz w:val="22"/>
          <w:szCs w:val="22"/>
        </w:rPr>
        <w:t>2. Modalidades de contratación del benchmark</w:t>
      </w:r>
    </w:p>
    <w:p>
      <w:pPr>
        <w:pStyle w:val="Heading1"/>
        <w:spacing w:lineRule="exact" w:line="240" w:before="240" w:after="120"/>
        <w:rPr/>
      </w:pPr>
      <w:bookmarkStart w:id="3" w:name="__RefHeading___Toc1460_1296911271"/>
      <w:bookmarkEnd w:id="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Lista de Abreviaturas y Acrónimos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1799"/>
        <w:gridCol w:w="7000"/>
      </w:tblGrid>
      <w:tr>
        <w:trPr>
          <w:tblHeader w:val="true"/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Sigla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Significado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AUC-PR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Precision-Recall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AUC-ROC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Área bajo la curva Receiver Operating Characteristic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CGR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Contraloría General de la República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Integración continua (Continuous Integration)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CV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Validación cruzada (Cross-Validation)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DAG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Grafo acíclico dirigido (Directed Acyclic Graph)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EDA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Análisis exploratorio de datos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Extracción, transformación y carga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HDFS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Hadoop Distributed File System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Machine Learning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MLlib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Biblioteca de Machine Learning de Apache Spark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OCDS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Open Contracting Data Standard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OECE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Organismo Especializado para las Contrataciones Públicas Eficientes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PoC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Prueba de concepto (Proof of Concept)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PSI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Population Stability Index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SHapley Additive exPlanations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SSRS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SQL Server Reporting Services</w:t>
            </w:r>
          </w:p>
        </w:tc>
      </w:tr>
      <w:tr>
        <w:trPr>
          <w:cantSplit w:val="true"/>
        </w:trPr>
        <w:tc>
          <w:tcPr>
            <w:tcW w:w="1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TDR</w:t>
            </w:r>
          </w:p>
        </w:tc>
        <w:tc>
          <w:tcPr>
            <w:tcW w:w="7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Términos de Referencia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4" w:name="__RefHeading___Toc1462_1296911271"/>
      <w:bookmarkEnd w:id="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Glosario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2500"/>
        <w:gridCol w:w="6299"/>
      </w:tblGrid>
      <w:tr>
        <w:trPr>
          <w:tblHeader w:val="true"/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Término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Definición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Benchmark sintético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Conjunto de datos artificial con casos sembrados, usado para verificar el comportamiento del prototipo sin asumir desempeño productivo.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Feature engineering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Creación o transformación de variables analíticas a partir de los datos de origen.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Ground truth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Etiqueta de referencia usada para evaluar un modelo. En el PoC las etiquetas son sintéticas; el ground truth real requiere validación institucional.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Hard negative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Caso negativo diseñado para parecerse a un positivo y evitar una separación artificialmente trivial.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Holdout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Partición reservada que no participa en el ajuste de parámetros y se usa para una evaluación independiente.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Lakehouse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Arquitectura que combina almacenamiento de datos a escala con capacidades de gestión y consulta analítica.</w:t>
            </w:r>
          </w:p>
        </w:tc>
      </w:tr>
      <w:tr>
        <w:trPr>
          <w:cantSplit w:val="true"/>
        </w:trPr>
        <w:tc>
          <w:tcPr>
            <w:tcW w:w="25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Señal de priorización</w:t>
            </w:r>
          </w:p>
        </w:tc>
        <w:tc>
          <w:tcPr>
            <w:tcW w:w="62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Indicador para ordenar casos que merecen revisión humana; no constituye por sí mismo un hallazgo ni una determinación jurídica.</w:t>
            </w:r>
          </w:p>
        </w:tc>
      </w:tr>
    </w:tbl>
    <w:p>
      <w:pPr>
        <w:pStyle w:val="Heading1"/>
        <w:spacing w:lineRule="exact" w:line="240" w:before="240" w:after="120"/>
        <w:rPr/>
      </w:pPr>
      <w:bookmarkStart w:id="5" w:name="__RefHeading___Toc1464_1296911271"/>
      <w:bookmarkEnd w:id="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1. Introducción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Este producto documenta la preparación de datos previa al modelado de favoritismo y cubre los componentes de limpieza y preprocesamiento exigidos por el TDR.</w:t>
      </w:r>
    </w:p>
    <w:p>
      <w:pPr>
        <w:pStyle w:val="Heading1"/>
        <w:spacing w:lineRule="exact" w:line="240" w:before="240" w:after="120"/>
        <w:rPr/>
      </w:pPr>
      <w:bookmarkStart w:id="6" w:name="__RefHeading___Toc1466_1296911271"/>
      <w:bookmarkEnd w:id="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2. Objetivo de Consultoría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Objetivo de consultoría tomado como referencia del TDR: disponer datos procesados y filtrados de fuentes externas e internas, y desarrollar modelos de Machine Learning que permitan identificar casos atípicos y patrones de riesgo relevantes para la labor del auditor. En este repositorio dicho objetivo se desarrolla únicamente como prototipo independiente.</w:t>
      </w:r>
    </w:p>
    <w:p>
      <w:pPr>
        <w:pStyle w:val="Heading1"/>
        <w:spacing w:lineRule="exact" w:line="240" w:before="240" w:after="120"/>
        <w:rPr/>
      </w:pPr>
      <w:bookmarkStart w:id="7" w:name="__RefHeading___Toc1468_1296911271"/>
      <w:bookmarkEnd w:id="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 Productos Alcanzados</w:t>
      </w:r>
    </w:p>
    <w:p>
      <w:pPr>
        <w:pStyle w:val="Heading2"/>
        <w:spacing w:lineRule="exact" w:line="240" w:before="180" w:after="80"/>
        <w:rPr/>
      </w:pPr>
      <w:bookmarkStart w:id="8" w:name="__RefHeading___Toc1470_1296911271"/>
      <w:bookmarkEnd w:id="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3.1 Imputación y calidad de datos</w:t>
      </w:r>
    </w:p>
    <w:p>
      <w:pPr>
        <w:pStyle w:val="Normal"/>
        <w:keepNext w:val="true"/>
        <w:spacing w:lineRule="exact" w:line="240" w:before="0" w:after="4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Tabla 1. Resumen de calidad y preparación del benchmark de favoritismo</w:t>
      </w:r>
    </w:p>
    <w:tbl>
      <w:tblPr>
        <w:tblW w:w="8800" w:type="dxa"/>
        <w:jc w:val="left"/>
        <w:tblInd w:w="0" w:type="dxa"/>
        <w:tblLayout w:type="fixed"/>
        <w:tblCellMar>
          <w:top w:w="55" w:type="dxa"/>
          <w:left w:w="80" w:type="dxa"/>
          <w:bottom w:w="55" w:type="dxa"/>
          <w:right w:w="80" w:type="dxa"/>
        </w:tblCellMar>
      </w:tblPr>
      <w:tblGrid>
        <w:gridCol w:w="5000"/>
        <w:gridCol w:w="3799"/>
      </w:tblGrid>
      <w:tr>
        <w:trPr>
          <w:tblHeader w:val="true"/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Métrica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fill="E7E6E6" w:val="clear"/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/>
                <w:bCs/>
                <w:color w:val="000000"/>
                <w:sz w:val="22"/>
                <w:szCs w:val="22"/>
              </w:rPr>
              <w:t>Resultado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Contratos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3,709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Valores nulos totales en fuente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241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Filas con al menos un nulo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Percentil 99 del monto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S/ 736,486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Registros sobre P99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37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Pares proveedor-entidad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2,328</w:t>
            </w:r>
          </w:p>
        </w:tc>
      </w:tr>
      <w:tr>
        <w:trPr>
          <w:cantSplit w:val="true"/>
        </w:trPr>
        <w:tc>
          <w:tcPr>
            <w:tcW w:w="50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left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Positivos sintéticos</w:t>
            </w:r>
          </w:p>
        </w:tc>
        <w:tc>
          <w:tcPr>
            <w:tcW w:w="3799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Normal"/>
              <w:spacing w:lineRule="exact" w:line="240" w:before="0" w:after="0"/>
              <w:jc w:val="center"/>
              <w:rPr/>
            </w:pPr>
            <w:r>
              <w:rPr>
                <w:rFonts w:eastAsia="Arial" w:cs="Arial"/>
                <w:b w:val="false"/>
                <w:bCs w:val="false"/>
                <w:color w:val="000000"/>
                <w:sz w:val="22"/>
                <w:szCs w:val="22"/>
              </w:rPr>
              <w:t>6</w:t>
            </w:r>
          </w:p>
        </w:tc>
      </w:tr>
    </w:tbl>
    <w:p>
      <w:pPr>
        <w:pStyle w:val="Heading2"/>
        <w:spacing w:lineRule="exact" w:line="240" w:before="180" w:after="80"/>
        <w:rPr/>
      </w:pPr>
      <w:bookmarkStart w:id="9" w:name="__RefHeading___Toc1472_1296911271"/>
      <w:bookmarkEnd w:id="9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3.2 Tratamiento de outliers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Los montos extremos se identifican mediante el percentil 99 y se controlan en la transformación para impedir que valores aislados dominen el entrenamiento. La operación es determinística y queda cubierta por el pipeline reproducible.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1. Distribución de montos contractuales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1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0" w:name="__RefHeading___Toc1474_1296911271"/>
      <w:bookmarkEnd w:id="10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3.3 Codificación y normalización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Las variables numéricas se preparan de forma reproducible y las categorías se conservan con semántica explícita. Contratación Directa y Comparación de Precios se modelan como variables separadas, evitando equiparar procedimientos distintos.</w:t>
      </w:r>
    </w:p>
    <w:p>
      <w:pPr>
        <w:pStyle w:val="Normal"/>
        <w:keepNext w:val="true"/>
        <w:spacing w:lineRule="exact" w:line="240" w:before="0" w:after="35"/>
        <w:jc w:val="center"/>
        <w:rPr/>
      </w:pPr>
      <w:r>
        <w:rPr>
          <w:rFonts w:eastAsia="Arial" w:cs="Arial"/>
          <w:b/>
          <w:bCs/>
          <w:color w:val="000000"/>
          <w:sz w:val="22"/>
          <w:szCs w:val="22"/>
        </w:rPr>
        <w:t>Gráfico 2. Modalidades de contratación del benchmark</w:t>
      </w:r>
    </w:p>
    <w:p>
      <w:pPr>
        <w:pStyle w:val="Normal"/>
        <w:keepNext w:val="true"/>
        <w:spacing w:before="0" w:after="40"/>
        <w:jc w:val="center"/>
        <w:rPr/>
      </w:pPr>
      <w:r>
        <w:rPr/>
        <w:drawing>
          <wp:inline distT="0" distB="0" distL="0" distR="0">
            <wp:extent cx="5810250" cy="3333750"/>
            <wp:effectExtent l="0" t="0" r="0" b="0"/>
            <wp:docPr id="2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025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  <w:keepNext w:val="false"/>
        <w:spacing w:lineRule="exact" w:line="240" w:before="0" w:after="90"/>
        <w:jc w:val="center"/>
        <w:rPr/>
      </w:pPr>
      <w:r>
        <w:rPr>
          <w:rFonts w:eastAsia="Arial" w:cs="Arial"/>
          <w:i/>
          <w:iCs/>
          <w:color w:val="666666"/>
          <w:sz w:val="22"/>
          <w:szCs w:val="22"/>
        </w:rPr>
        <w:t>Fuente: Elaboración propia a partir de la evidencia reproducible del PoC.</w:t>
      </w:r>
    </w:p>
    <w:p>
      <w:pPr>
        <w:pStyle w:val="Heading2"/>
        <w:spacing w:lineRule="exact" w:line="240" w:before="180" w:after="80"/>
        <w:rPr/>
      </w:pPr>
      <w:bookmarkStart w:id="11" w:name="__RefHeading___Toc1476_1296911271"/>
      <w:bookmarkEnd w:id="11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3.4 Feature engineering</w:t>
      </w:r>
    </w:p>
    <w:p>
      <w:pPr>
        <w:pStyle w:val="ListParagraph"/>
        <w:numPr>
          <w:ilvl w:val="0"/>
          <w:numId w:val="3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contratos, monto total y monto promedio por proveedor-entidad.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objetos únicos y concentración temática.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Porcentaje de Contratación Directa y porcentaje de Comparación de Precios, por separado.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Número de funcionarios distintos, días de actividad, contratos por mes y monto por funcionario.</w:t>
      </w:r>
    </w:p>
    <w:p>
      <w:pPr>
        <w:pStyle w:val="Heading2"/>
        <w:spacing w:lineRule="exact" w:line="240" w:before="180" w:after="80"/>
        <w:rPr/>
      </w:pPr>
      <w:bookmarkStart w:id="12" w:name="__RefHeading___Toc1478_1296911271"/>
      <w:bookmarkEnd w:id="12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3.5 División y publicación de datos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dataset analítico se publica en lakehouse/plata/dataset_favoritismo.csv. Las particiones de validación se realizan en las etapas de comparación y tuning con esquemas estratificados reproducibles.</w:t>
      </w:r>
    </w:p>
    <w:p>
      <w:pPr>
        <w:pStyle w:val="Heading1"/>
        <w:spacing w:lineRule="exact" w:line="240" w:before="240" w:after="120"/>
        <w:rPr/>
      </w:pPr>
      <w:bookmarkStart w:id="13" w:name="__RefHeading___Toc1480_1296911271"/>
      <w:bookmarkEnd w:id="13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4. Actividades Realizadas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Generación determinística del benchmark sintético con hard negatives.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EDA, imputación, control de outliers, transformación y feature engineering.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Publicación de datos limpios/features en capa Plata.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Validación automática de columnas, conteos y etiquetas en GitHub Actions.</w:t>
      </w:r>
    </w:p>
    <w:p>
      <w:pPr>
        <w:pStyle w:val="Heading1"/>
        <w:spacing w:lineRule="exact" w:line="240" w:before="240" w:after="120"/>
        <w:rPr/>
      </w:pPr>
      <w:bookmarkStart w:id="14" w:name="__RefHeading___Toc1482_1296911271"/>
      <w:bookmarkEnd w:id="14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5. Grado de Cumplimiento del Producto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Cumplimiento técnico completo dentro del PoC. La sustitución de datos sintéticos por fuentes internas y su validación funcional dependen del entorno institucional CGR.</w:t>
      </w:r>
    </w:p>
    <w:p>
      <w:pPr>
        <w:pStyle w:val="Heading1"/>
        <w:spacing w:lineRule="exact" w:line="240" w:before="240" w:after="120"/>
        <w:rPr/>
      </w:pPr>
      <w:bookmarkStart w:id="15" w:name="__RefHeading___Toc1484_1296911271"/>
      <w:bookmarkEnd w:id="15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6. Dificultades y Limitaciones Encontradas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El ground truth es sintético; permite probar el pipeline pero no estimar desempeño real.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La información abierta OCDS no contiene todos los atributos institucionales previstos por el TDR.</w:t>
      </w:r>
    </w:p>
    <w:p>
      <w:pPr>
        <w:pStyle w:val="Heading1"/>
        <w:spacing w:lineRule="exact" w:line="240" w:before="240" w:after="120"/>
        <w:rPr/>
      </w:pPr>
      <w:bookmarkStart w:id="16" w:name="__RefHeading___Toc1486_1296911271"/>
      <w:bookmarkEnd w:id="16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7. Conclusiones y Recomendaciones</w:t>
      </w:r>
    </w:p>
    <w:p>
      <w:pPr>
        <w:pStyle w:val="Normal"/>
        <w:keepNext w:val="false"/>
        <w:spacing w:lineRule="exact" w:line="240" w:before="0" w:after="80"/>
        <w:jc w:val="both"/>
        <w:rPr/>
      </w:pPr>
      <w:r>
        <w:rPr>
          <w:rFonts w:eastAsia="Arial" w:cs="Arial"/>
          <w:color w:val="000000"/>
          <w:sz w:val="22"/>
          <w:szCs w:val="22"/>
        </w:rPr>
        <w:t>El preprocesamiento de favoritismo es reproducible, auditable y coherente con la semántica de contratación. Se recomienda conservar esta separación de modalidades y recalibrar el feature engineering cuando exista ground truth validado por auditores.</w:t>
      </w:r>
    </w:p>
    <w:p>
      <w:pPr>
        <w:pStyle w:val="Heading1"/>
        <w:spacing w:lineRule="exact" w:line="240" w:before="240" w:after="120"/>
        <w:rPr/>
      </w:pPr>
      <w:bookmarkStart w:id="17" w:name="__RefHeading___Toc1488_1296911271"/>
      <w:bookmarkEnd w:id="17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8. Anexos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Repositorio organizado con código, datasets sintéticos, evidencia reproducible y documentación: https://github.com/NoeCalle/cgr-analisis-datos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Fuente única de cifras documentales: outputs/evidencia_documental.json.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Trazabilidad de ejecución: outputs/run_manifest.json y outputs/linaje_datos.csv.</w:t>
      </w:r>
    </w:p>
    <w:p>
      <w:pPr>
        <w:pStyle w:val="Heading1"/>
        <w:spacing w:lineRule="exact" w:line="240" w:before="240" w:after="120"/>
        <w:rPr/>
      </w:pPr>
      <w:bookmarkStart w:id="18" w:name="__RefHeading___Toc1490_1296911271"/>
      <w:bookmarkEnd w:id="18"/>
      <w:r>
        <w:rPr>
          <w:rFonts w:eastAsia="Arial" w:cs="Arial" w:ascii="Arial" w:hAnsi="Arial"/>
          <w:b/>
          <w:bCs/>
          <w:color w:val="000000"/>
          <w:sz w:val="22"/>
          <w:szCs w:val="22"/>
        </w:rPr>
        <w:t>Referencias Bibliográficas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Contraloría General de la República. Términos de Referencia de la consultoría del Proyecto Interno 1.8.2, mayo de 2026.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Open Contracting Partnership. Open Contracting Data Standard (OCDS) y publicación de datos abiertos utilizada por el prototipo.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Organismo Especializado para las Contrataciones Públicas Eficientes (OECE). Datos abiertos de contratación pública empleados en la validación independiente.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Apache Software Foundation. Documentación de Apache Spark y Spark MLlib.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scikit-learn developers. Documentación de scikit-learn para clasificación, validación y detección de anomalías.</w:t>
      </w:r>
    </w:p>
    <w:p>
      <w:pPr>
        <w:pStyle w:val="ListParagraph"/>
        <w:numPr>
          <w:ilvl w:val="0"/>
          <w:numId w:val="1"/>
        </w:numPr>
        <w:spacing w:lineRule="exact" w:line="240" w:before="0" w:after="50"/>
        <w:rPr/>
      </w:pPr>
      <w:r>
        <w:rPr>
          <w:rFonts w:eastAsia="Arial" w:cs="Arial"/>
          <w:color w:val="000000"/>
          <w:sz w:val="22"/>
          <w:szCs w:val="22"/>
        </w:rPr>
        <w:t>Lundberg, S. M. y Lee, S.-I. A Unified Approach to Interpreting Model Predictions. 2017.</w:t>
      </w:r>
    </w:p>
    <w:sectPr>
      <w:headerReference w:type="default" r:id="rId7"/>
      <w:footerReference w:type="default" r:id="rId8"/>
      <w:footerReference w:type="first" r:id="rId9"/>
      <w:type w:val="nextPage"/>
      <w:pgSz w:w="11906" w:h="16838"/>
      <w:pgMar w:left="1440" w:right="1440" w:gutter="0" w:header="708" w:top="1440" w:footer="708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Arial">
    <w:charset w:val="01"/>
    <w:family w:val="roman"/>
    <w:pitch w:val="variable"/>
  </w:font>
  <w:font w:name="Arial">
    <w:charset w:val="01"/>
    <w:family w:val="swiss"/>
    <w:pitch w:val="variable"/>
  </w:font>
  <w:font w:name="Liberation Sans">
    <w:altName w:val="Arial"/>
    <w:charset w:val="01"/>
    <w:family w:val="swiss"/>
    <w:pitch w:val="variable"/>
  </w:font>
  <w:font w:name="Wingdings">
    <w:charset w:val="02"/>
    <w:family w:val="auto"/>
    <w:pitch w:val="default"/>
  </w:font>
  <w:font w:name="Wingdings 2">
    <w:charset w:val="02"/>
    <w:family w:val="auto"/>
    <w:pitch w:val="default"/>
  </w:font>
  <w:font w:name="OpenSymbol">
    <w:altName w:val="Arial Unicode MS"/>
    <w:charset w:val="01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1</w:t>
    </w:r>
    <w:r>
      <w:rPr/>
      <w:fldChar w:fldCharType="end"/>
    </w:r>
  </w:p>
</w:ftr>
</file>

<file path=word/footer4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0"/>
      <w:jc w:val="right"/>
      <w:rPr/>
    </w:pPr>
    <w:r>
      <w:rPr>
        <w:rFonts w:eastAsia="Arial" w:cs="Arial"/>
        <w:color w:val="000000"/>
        <w:sz w:val="22"/>
        <w:szCs w:val="22"/>
      </w:rPr>
      <w:t xml:space="preserve">Página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6</w:t>
    </w:r>
    <w:r>
      <w:rPr/>
      <w:fldChar w:fldCharType="end"/>
    </w:r>
  </w:p>
</w:ftr>
</file>

<file path=word/footer5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/>
</w:ftr>
</file>

<file path=word/header1.xml><?xml version="1.0" encoding="utf-8"?>
<w:hd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Normal"/>
      <w:spacing w:lineRule="exact" w:line="240" w:before="0" w:after="30"/>
      <w:jc w:val="right"/>
      <w:rPr/>
    </w:pPr>
    <w:r>
      <w:rPr>
        <w:rFonts w:eastAsia="Arial" w:cs="Arial"/>
        <w:color w:val="666666"/>
        <w:sz w:val="22"/>
        <w:szCs w:val="22"/>
      </w:rPr>
      <w:t>Limpieza y Preprocesamiento de Datos para Identificación de Proveedores Favoritos</w:t>
    </w:r>
  </w:p>
</w:hd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"/>
      <w:lvlJc w:val="left"/>
      <w:pPr>
        <w:tabs>
          <w:tab w:val="num" w:pos="0"/>
        </w:tabs>
        <w:ind w:left="720" w:hanging="360"/>
      </w:pPr>
      <w:rPr>
        <w:rFonts w:ascii="Wingdings" w:hAnsi="Wingdings" w:cs="Wingdings" w:hint="default"/>
      </w:rPr>
    </w:lvl>
    <w:lvl w:ilvl="1">
      <w:start w:val="1"/>
      <w:numFmt w:val="bullet"/>
      <w:lvlText w:val=""/>
      <w:lvlJc w:val="left"/>
      <w:pPr>
        <w:tabs>
          <w:tab w:val="num" w:pos="0"/>
        </w:tabs>
        <w:ind w:left="1440" w:hanging="360"/>
      </w:pPr>
      <w:rPr>
        <w:rFonts w:ascii="Wingdings 2" w:hAnsi="Wingdings 2" w:cs="Wingdings 2" w:hint="default"/>
      </w:rPr>
    </w:lvl>
    <w:lvl w:ilvl="2">
      <w:start w:val="1"/>
      <w:numFmt w:val="bullet"/>
      <w:lvlText w:val="■"/>
      <w:lvlJc w:val="left"/>
      <w:pPr>
        <w:tabs>
          <w:tab w:val="num" w:pos="0"/>
        </w:tabs>
        <w:ind w:left="2160" w:hanging="360"/>
      </w:pPr>
      <w:rPr>
        <w:rFonts w:ascii="OpenSymbol" w:hAnsi="OpenSymbol" w:cs="OpenSymbol" w:hint="default"/>
      </w:rPr>
    </w:lvl>
    <w:lvl w:ilvl="3">
      <w:start w:val="1"/>
      <w:numFmt w:val="bullet"/>
      <w:lvlText w:val=""/>
      <w:lvlJc w:val="left"/>
      <w:pPr>
        <w:tabs>
          <w:tab w:val="num" w:pos="0"/>
        </w:tabs>
        <w:ind w:left="2880" w:hanging="360"/>
      </w:pPr>
      <w:rPr>
        <w:rFonts w:ascii="Wingdings" w:hAnsi="Wingdings" w:cs="Wingdings" w:hint="default"/>
      </w:rPr>
    </w:lvl>
    <w:lvl w:ilvl="4">
      <w:start w:val="1"/>
      <w:numFmt w:val="bullet"/>
      <w:lvlText w:val=""/>
      <w:lvlJc w:val="left"/>
      <w:pPr>
        <w:tabs>
          <w:tab w:val="num" w:pos="0"/>
        </w:tabs>
        <w:ind w:left="3600" w:hanging="360"/>
      </w:pPr>
      <w:rPr>
        <w:rFonts w:ascii="Wingdings 2" w:hAnsi="Wingdings 2" w:cs="Wingdings 2" w:hint="default"/>
      </w:rPr>
    </w:lvl>
    <w:lvl w:ilvl="5">
      <w:start w:val="1"/>
      <w:numFmt w:val="bullet"/>
      <w:lvlText w:val="■"/>
      <w:lvlJc w:val="left"/>
      <w:pPr>
        <w:tabs>
          <w:tab w:val="num" w:pos="0"/>
        </w:tabs>
        <w:ind w:left="4320" w:hanging="360"/>
      </w:pPr>
      <w:rPr>
        <w:rFonts w:ascii="OpenSymbol" w:hAnsi="OpenSymbol" w:cs="OpenSymbol" w:hint="default"/>
      </w:rPr>
    </w:lvl>
    <w:lvl w:ilvl="6">
      <w:start w:val="1"/>
      <w:numFmt w:val="bullet"/>
      <w:lvlText w:val=""/>
      <w:lvlJc w:val="left"/>
      <w:pPr>
        <w:tabs>
          <w:tab w:val="num" w:pos="0"/>
        </w:tabs>
        <w:ind w:left="5040" w:hanging="360"/>
      </w:pPr>
      <w:rPr>
        <w:rFonts w:ascii="Wingdings" w:hAnsi="Wingdings" w:cs="Wingdings" w:hint="default"/>
      </w:rPr>
    </w:lvl>
    <w:lvl w:ilvl="7">
      <w:start w:val="1"/>
      <w:numFmt w:val="bullet"/>
      <w:lvlText w:val=""/>
      <w:lvlJc w:val="left"/>
      <w:pPr>
        <w:tabs>
          <w:tab w:val="num" w:pos="0"/>
        </w:tabs>
        <w:ind w:left="5760" w:hanging="360"/>
      </w:pPr>
      <w:rPr>
        <w:rFonts w:ascii="Wingdings" w:hAnsi="Wingdings" w:cs="Wingdings" w:hint="default"/>
      </w:rPr>
    </w:lvl>
    <w:lvl w:ilvl="8">
      <w:start w:val="1"/>
      <w:numFmt w:val="bullet"/>
      <w:lvlText w:val=""/>
      <w:lvlJc w:val="left"/>
      <w:pPr>
        <w:tabs>
          <w:tab w:val="num" w:pos="0"/>
        </w:tabs>
        <w:ind w:left="6480" w:hanging="360"/>
      </w:pPr>
      <w:rPr>
        <w:rFonts w:ascii="Wingdings" w:hAnsi="Wingdings" w:cs="Wingdings" w:hint="default"/>
      </w:rPr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1"/>
    <w:lvlOverride w:ilvl="0">
      <w:startOverride w:val="1"/>
    </w:lvlOverride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2"/>
  </w:compat>
  <w:themeFontLang w:val="" w:eastAsia="" w:bidi=""/>
  <w:mirrorMargins/>
  <w:updateFields w:val="true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Arial" w:hAnsi="Arial" w:eastAsia="Arial" w:cs="Arial"/>
        <w:color w:val="000000"/>
        <w:sz w:val="22"/>
        <w:szCs w:val="22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Heading1">
    <w:name w:val="Heading 1"/>
    <w:basedOn w:val="Heading"/>
    <w:qFormat/>
    <w:pPr>
      <w:spacing w:lineRule="exact" w:line="240" w:before="240" w:after="120"/>
      <w:outlineLvl w:val="0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2">
    <w:name w:val="Heading 2"/>
    <w:basedOn w:val="Heading"/>
    <w:qFormat/>
    <w:pPr>
      <w:spacing w:lineRule="exact" w:line="240" w:before="180" w:after="80"/>
      <w:outlineLvl w:val="1"/>
    </w:pPr>
    <w:rPr>
      <w:rFonts w:ascii="Arial" w:hAnsi="Arial" w:eastAsia="Arial" w:cs="Arial"/>
      <w:b/>
      <w:bCs/>
      <w:color w:val="000000"/>
      <w:sz w:val="22"/>
      <w:szCs w:val="22"/>
    </w:rPr>
  </w:style>
  <w:style w:type="paragraph" w:styleId="Heading3">
    <w:name w:val="Heading 3"/>
    <w:basedOn w:val="Heading"/>
    <w:qFormat/>
    <w:pPr/>
    <w:rPr>
      <w:color w:val="1F4D78"/>
      <w:sz w:val="24"/>
      <w:szCs w:val="24"/>
    </w:rPr>
  </w:style>
  <w:style w:type="paragraph" w:styleId="Heading4">
    <w:name w:val="Heading 4"/>
    <w:basedOn w:val="Heading"/>
    <w:qFormat/>
    <w:pPr/>
    <w:rPr>
      <w:i/>
      <w:iCs/>
      <w:color w:val="2E74B5"/>
    </w:rPr>
  </w:style>
  <w:style w:type="paragraph" w:styleId="Heading5">
    <w:name w:val="Heading 5"/>
    <w:basedOn w:val="Heading"/>
    <w:qFormat/>
    <w:pPr/>
    <w:rPr>
      <w:color w:val="2E74B5"/>
    </w:rPr>
  </w:style>
  <w:style w:type="paragraph" w:styleId="Heading6">
    <w:name w:val="Heading 6"/>
    <w:basedOn w:val="Heading"/>
    <w:qFormat/>
    <w:pPr/>
    <w:rPr>
      <w:color w:val="1F4D78"/>
    </w:rPr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Characters">
    <w:name w:val="Footnote Characters"/>
    <w:uiPriority w:val="99"/>
    <w:semiHidden/>
    <w:unhideWhenUsed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FootnoteTextChar">
    <w:name w:val="Footnote Text Char"/>
    <w:link w:val="FootnoteText"/>
    <w:uiPriority w:val="99"/>
    <w:semiHidden/>
    <w:unhideWhenUsed/>
    <w:qFormat/>
    <w:rPr>
      <w:sz w:val="20"/>
      <w:szCs w:val="20"/>
    </w:rPr>
  </w:style>
  <w:style w:type="character" w:styleId="EndnoteCharacters">
    <w:name w:val="Endnote Characters"/>
    <w:uiPriority w:val="99"/>
    <w:semiHidden/>
    <w:unhideWhenUsed/>
    <w:qFormat/>
    <w:rPr>
      <w:vertAlign w:val="superscript"/>
    </w:rPr>
  </w:style>
  <w:style w:type="character" w:styleId="EndnoteReference">
    <w:name w:val="Endnote Reference"/>
    <w:rPr>
      <w:vertAlign w:val="superscript"/>
    </w:rPr>
  </w:style>
  <w:style w:type="character" w:styleId="EndnoteTextChar">
    <w:name w:val="Endnote Text Char"/>
    <w:link w:val="EndnoteText"/>
    <w:uiPriority w:val="99"/>
    <w:semiHidden/>
    <w:unhideWhenUsed/>
    <w:qFormat/>
    <w:rPr>
      <w:sz w:val="20"/>
      <w:szCs w:val="20"/>
    </w:rPr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DejaVu Sans" w:cs="DejaVu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Title">
    <w:name w:val="Title"/>
    <w:basedOn w:val="Heading"/>
    <w:qFormat/>
    <w:pPr/>
    <w:rPr>
      <w:sz w:val="56"/>
      <w:szCs w:val="56"/>
    </w:rPr>
  </w:style>
  <w:style w:type="paragraph" w:styleId="StrongEmphasis">
    <w:name w:val="Strong Emphasis"/>
    <w:qFormat/>
    <w:pPr>
      <w:widowControl/>
      <w:bidi w:val="0"/>
      <w:spacing w:before="0" w:after="0"/>
      <w:jc w:val="left"/>
    </w:pPr>
    <w:rPr>
      <w:rFonts w:ascii="Arial" w:hAnsi="Arial" w:eastAsia="Arial" w:cs="Arial"/>
      <w:b/>
      <w:bCs/>
      <w:color w:val="000000"/>
      <w:kern w:val="0"/>
      <w:sz w:val="22"/>
      <w:szCs w:val="22"/>
      <w:lang w:val="en-US" w:eastAsia="zh-CN" w:bidi="hi-IN"/>
    </w:rPr>
  </w:style>
  <w:style w:type="paragraph" w:styleId="ListParagraph">
    <w:name w:val="List Paragraph"/>
    <w:qFormat/>
    <w:pPr>
      <w:widowControl/>
      <w:bidi w:val="0"/>
      <w:spacing w:before="0" w:after="0"/>
      <w:jc w:val="left"/>
    </w:pPr>
    <w:rPr>
      <w:rFonts w:ascii="Arial" w:hAnsi="Arial" w:eastAsia="Arial" w:cs="Arial"/>
      <w:color w:val="000000"/>
      <w:kern w:val="0"/>
      <w:sz w:val="22"/>
      <w:szCs w:val="22"/>
      <w:lang w:val="en-US" w:eastAsia="zh-CN" w:bidi="hi-IN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lineRule="auto" w:line="240" w:before="0" w:after="0"/>
    </w:pPr>
    <w:rPr>
      <w:sz w:val="20"/>
      <w:szCs w:val="20"/>
    </w:rPr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Header">
    <w:name w:val="Header"/>
    <w:basedOn w:val="HeaderandFooter"/>
    <w:pPr/>
    <w:rPr/>
  </w:style>
  <w:style w:type="paragraph" w:styleId="IndexHeading">
    <w:name w:val="Index Heading"/>
    <w:basedOn w:val="Heading"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Index1">
    <w:name w:val="Index 1"/>
    <w:basedOn w:val="Index"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Index2">
    <w:name w:val="Index 2"/>
    <w:basedOn w:val="Index"/>
    <w:pPr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Index3">
    <w:name w:val="Index 3"/>
    <w:basedOn w:val="Index"/>
    <w:pPr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IndexSeparator">
    <w:name w:val="Index Separator"/>
    <w:basedOn w:val="Index"/>
    <w:qFormat/>
    <w:pPr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Heading">
    <w:name w:val="TOC Heading"/>
    <w:basedOn w:val="IndexHeading"/>
    <w:qFormat/>
    <w:pPr>
      <w:suppressLineNumbers/>
      <w:spacing w:lineRule="auto" w:line="240" w:before="0" w:after="0"/>
      <w:ind w:hanging="0" w:left="0"/>
    </w:pPr>
    <w:rPr>
      <w:rFonts w:ascii="Arial" w:hAnsi="Arial" w:eastAsia="Arial" w:cs="Arial"/>
      <w:b/>
      <w:bCs/>
      <w:sz w:val="22"/>
      <w:szCs w:val="22"/>
    </w:rPr>
  </w:style>
  <w:style w:type="paragraph" w:styleId="TOC1">
    <w:name w:val="TOC 1"/>
    <w:basedOn w:val="Index"/>
    <w:pPr>
      <w:tabs>
        <w:tab w:val="clear" w:pos="720"/>
        <w:tab w:val="right" w:pos="9026" w:leader="dot"/>
      </w:tabs>
      <w:spacing w:lineRule="auto" w:line="240" w:before="0" w:after="0"/>
      <w:ind w:hanging="0" w:left="0"/>
    </w:pPr>
    <w:rPr>
      <w:rFonts w:ascii="Arial" w:hAnsi="Arial" w:eastAsia="Arial" w:cs="Arial"/>
      <w:sz w:val="22"/>
      <w:szCs w:val="22"/>
    </w:rPr>
  </w:style>
  <w:style w:type="paragraph" w:styleId="TOC2">
    <w:name w:val="TOC 2"/>
    <w:basedOn w:val="Index"/>
    <w:pPr>
      <w:tabs>
        <w:tab w:val="clear" w:pos="720"/>
        <w:tab w:val="right" w:pos="8743" w:leader="dot"/>
      </w:tabs>
      <w:spacing w:lineRule="auto" w:line="240" w:before="0" w:after="0"/>
      <w:ind w:hanging="0" w:left="283"/>
    </w:pPr>
    <w:rPr>
      <w:rFonts w:ascii="Arial" w:hAnsi="Arial" w:eastAsia="Arial" w:cs="Arial"/>
      <w:sz w:val="22"/>
      <w:szCs w:val="22"/>
    </w:rPr>
  </w:style>
  <w:style w:type="paragraph" w:styleId="TOC3">
    <w:name w:val="TOC 3"/>
    <w:basedOn w:val="Index"/>
    <w:pPr>
      <w:tabs>
        <w:tab w:val="clear" w:pos="720"/>
        <w:tab w:val="right" w:pos="8459" w:leader="dot"/>
      </w:tabs>
      <w:spacing w:lineRule="auto" w:line="240" w:before="0" w:after="0"/>
      <w:ind w:hanging="0" w:left="567"/>
    </w:pPr>
    <w:rPr>
      <w:rFonts w:ascii="Arial" w:hAnsi="Arial" w:eastAsia="Arial" w:cs="Arial"/>
      <w:sz w:val="22"/>
      <w:szCs w:val="22"/>
    </w:rPr>
  </w:style>
  <w:style w:type="paragraph" w:styleId="TOC4">
    <w:name w:val="TOC 4"/>
    <w:basedOn w:val="Index"/>
    <w:pPr>
      <w:tabs>
        <w:tab w:val="clear" w:pos="720"/>
        <w:tab w:val="right" w:pos="8176" w:leader="dot"/>
      </w:tabs>
      <w:spacing w:lineRule="auto" w:line="240" w:before="0" w:after="0"/>
      <w:ind w:hanging="0" w:left="850"/>
    </w:pPr>
    <w:rPr>
      <w:rFonts w:ascii="Arial" w:hAnsi="Arial" w:eastAsia="Arial" w:cs="Arial"/>
      <w:sz w:val="22"/>
      <w:szCs w:val="22"/>
    </w:rPr>
  </w:style>
  <w:style w:type="paragraph" w:styleId="TOC5">
    <w:name w:val="TOC 5"/>
    <w:basedOn w:val="Index"/>
    <w:pPr>
      <w:tabs>
        <w:tab w:val="clear" w:pos="720"/>
        <w:tab w:val="right" w:pos="7892" w:leader="dot"/>
      </w:tabs>
      <w:spacing w:lineRule="auto" w:line="240" w:before="0" w:after="0"/>
      <w:ind w:hanging="0" w:left="1134"/>
    </w:pPr>
    <w:rPr>
      <w:rFonts w:ascii="Arial" w:hAnsi="Arial" w:eastAsia="Arial" w:cs="Arial"/>
      <w:sz w:val="22"/>
      <w:szCs w:val="22"/>
    </w:rPr>
  </w:style>
  <w:style w:type="paragraph" w:styleId="TOC6">
    <w:name w:val="TOC 6"/>
    <w:basedOn w:val="Index"/>
    <w:pPr>
      <w:tabs>
        <w:tab w:val="clear" w:pos="720"/>
        <w:tab w:val="right" w:pos="7609" w:leader="dot"/>
      </w:tabs>
      <w:spacing w:lineRule="auto" w:line="240" w:before="0" w:after="0"/>
      <w:ind w:hanging="0" w:left="1417"/>
    </w:pPr>
    <w:rPr>
      <w:rFonts w:ascii="Arial" w:hAnsi="Arial" w:eastAsia="Arial" w:cs="Arial"/>
      <w:sz w:val="22"/>
      <w:szCs w:val="22"/>
    </w:rPr>
  </w:style>
  <w:style w:type="paragraph" w:styleId="TOC7">
    <w:name w:val="TOC 7"/>
    <w:basedOn w:val="Index"/>
    <w:pPr>
      <w:tabs>
        <w:tab w:val="clear" w:pos="720"/>
        <w:tab w:val="right" w:pos="7325" w:leader="dot"/>
      </w:tabs>
      <w:spacing w:lineRule="auto" w:line="240" w:before="0" w:after="0"/>
      <w:ind w:hanging="0" w:left="1701"/>
    </w:pPr>
    <w:rPr>
      <w:rFonts w:ascii="Arial" w:hAnsi="Arial" w:eastAsia="Arial" w:cs="Arial"/>
      <w:sz w:val="22"/>
      <w:szCs w:val="22"/>
    </w:rPr>
  </w:style>
  <w:style w:type="paragraph" w:styleId="TOC8">
    <w:name w:val="TOC 8"/>
    <w:basedOn w:val="Index"/>
    <w:pPr>
      <w:tabs>
        <w:tab w:val="clear" w:pos="720"/>
        <w:tab w:val="right" w:pos="7042" w:leader="dot"/>
      </w:tabs>
      <w:spacing w:lineRule="auto" w:line="240" w:before="0" w:after="0"/>
      <w:ind w:hanging="0" w:left="1984"/>
    </w:pPr>
    <w:rPr>
      <w:rFonts w:ascii="Arial" w:hAnsi="Arial" w:eastAsia="Arial" w:cs="Arial"/>
      <w:sz w:val="22"/>
      <w:szCs w:val="22"/>
    </w:rPr>
  </w:style>
  <w:style w:type="paragraph" w:styleId="TOC9">
    <w:name w:val="TOC 9"/>
    <w:basedOn w:val="Index"/>
    <w:pPr>
      <w:tabs>
        <w:tab w:val="clear" w:pos="720"/>
        <w:tab w:val="right" w:pos="6758" w:leader="dot"/>
      </w:tabs>
      <w:spacing w:lineRule="auto" w:line="240" w:before="0" w:after="0"/>
      <w:ind w:hanging="0" w:left="2268"/>
    </w:pPr>
    <w:rPr>
      <w:rFonts w:ascii="Arial" w:hAnsi="Arial" w:eastAsia="Arial" w:cs="Arial"/>
      <w:sz w:val="22"/>
      <w:szCs w:val="22"/>
    </w:rPr>
  </w:style>
  <w:style w:type="paragraph" w:styleId="Contents10">
    <w:name w:val="Contents 10"/>
    <w:basedOn w:val="Index"/>
    <w:qFormat/>
    <w:pPr>
      <w:tabs>
        <w:tab w:val="clear" w:pos="720"/>
        <w:tab w:val="right" w:pos="6475" w:leader="dot"/>
      </w:tabs>
      <w:spacing w:lineRule="auto" w:line="240" w:before="0" w:after="0"/>
      <w:ind w:hanging="0" w:left="2551"/>
    </w:pPr>
    <w:rPr>
      <w:rFonts w:ascii="Arial" w:hAnsi="Arial" w:eastAsia="Arial" w:cs="Arial"/>
      <w:sz w:val="22"/>
      <w:szCs w:val="22"/>
    </w:rPr>
  </w:style>
  <w:style w:type="paragraph" w:styleId="TableContents">
    <w:name w:val="Table Contents"/>
    <w:basedOn w:val="Normal"/>
    <w:qFormat/>
    <w:pPr>
      <w:widowControl w:val="false"/>
      <w:suppressLineNumbers/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FrameContents">
    <w:name w:val="Frame Contents"/>
    <w:basedOn w:val="Normal"/>
    <w:qFormat/>
    <w:pPr>
      <w:spacing w:lineRule="auto" w:line="240" w:before="0" w:after="0"/>
    </w:pPr>
    <w:rPr>
      <w:rFonts w:ascii="Arial" w:hAnsi="Arial" w:eastAsia="Arial" w:cs="Arial"/>
      <w:sz w:val="22"/>
      <w:szCs w:val="22"/>
    </w:rPr>
  </w:style>
  <w:style w:type="paragraph" w:styleId="ListContents">
    <w:name w:val="List Contents"/>
    <w:basedOn w:val="Normal"/>
    <w:qFormat/>
    <w:pPr>
      <w:spacing w:lineRule="auto" w:line="240" w:before="0" w:after="0"/>
      <w:ind w:left="567"/>
    </w:pPr>
    <w:rPr>
      <w:rFonts w:ascii="Arial" w:hAnsi="Arial" w:eastAsia="Arial" w:cs="Arial"/>
      <w:sz w:val="22"/>
      <w:szCs w:val="22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Relationship Id="rId3" Type="http://schemas.openxmlformats.org/officeDocument/2006/relationships/footer" Target="footer2.xml"/><Relationship Id="rId4" Type="http://schemas.openxmlformats.org/officeDocument/2006/relationships/footer" Target="footer3.xml"/><Relationship Id="rId5" Type="http://schemas.openxmlformats.org/officeDocument/2006/relationships/image" Target="media/image1.png"/><Relationship Id="rId6" Type="http://schemas.openxmlformats.org/officeDocument/2006/relationships/image" Target="media/image2.png"/><Relationship Id="rId7" Type="http://schemas.openxmlformats.org/officeDocument/2006/relationships/header" Target="header1.xml"/><Relationship Id="rId8" Type="http://schemas.openxmlformats.org/officeDocument/2006/relationships/footer" Target="footer4.xml"/><Relationship Id="rId9" Type="http://schemas.openxmlformats.org/officeDocument/2006/relationships/footer" Target="footer5.xml"/><Relationship Id="rId10" Type="http://schemas.openxmlformats.org/officeDocument/2006/relationships/numbering" Target="numbering.xml"/><Relationship Id="rId11" Type="http://schemas.openxmlformats.org/officeDocument/2006/relationships/fontTable" Target="fontTable.xml"/><Relationship Id="rId12" Type="http://schemas.openxmlformats.org/officeDocument/2006/relationships/settings" Target="settings.xml"/><Relationship Id="rId13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2026-08-08T01:29:46Z</dcterms:created>
  <dc:creator>Noé Calle</dc:creator>
  <dc:description>PROTOTIPO INDEPENDIENTE - no constituye una implementación oficial ni cuenta con aprobación institucional de la CGR.</dc:description>
  <dc:language>en-US</dc:language>
  <cp:lastModifiedBy/>
  <dcterms:modified xsi:type="dcterms:W3CDTF">2026-08-08T01:29:49Z</dcterms:modified>
  <cp:revision>2</cp:revision>
  <dc:subject/>
  <dc:title>Limpieza y Preprocesamiento de Datos para Identificación de Proveedores Favoritos - Prototipo independiente CGR 1.8.2</dc:title>
</cp:coreProperties>
</file>