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7</w:t>
      </w:r>
    </w:p>
    <w:p>
      <w:pPr>
        <w:spacing w:after="300" w:before="150"/>
        <w:jc w:val="center"/>
      </w:pPr>
      <w:r>
        <w:rPr>
          <w:b/>
          <w:bCs/>
          <w:sz w:val="30"/>
          <w:szCs w:val="30"/>
        </w:rPr>
        <w:t xml:space="preserve">Informe Final</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elaborado como prueba de concepto (proof of concept) — no constituye una postulación formal</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Este Informe Final consolida el entrenamiento y validación del modelo de fraccionamiento, y cierra la consultoría con el manual de implementación, el plan de monitoreo, la transferencia de conocimiento y el estado del repositorio de código. El prototipo completo cubre los tres casos de uso priorizados por el TDR (favoritismo, fraccionamiento y vínculos proveedor-funcionario) más un módulo de análisis de vínculos no exigido explícitamente en el cronograma pero sí en el numeral 4.2.4.</w:t>
      </w:r>
    </w:p>
    <w:p>
      <w:pPr>
        <w:pStyle w:val="Heading1"/>
        <w:spacing w:after="140" w:before="260"/>
      </w:pPr>
      <w:r>
        <w:t xml:space="preserve">Índice</w:t>
      </w:r>
    </w:p>
    <w:p>
      <w:pPr>
        <w:spacing w:after="140"/>
      </w:pPr>
      <w:r>
        <w:rPr>
          <w:sz w:val="21"/>
          <w:szCs w:val="21"/>
        </w:rPr>
        <w:t xml:space="preserve">1. Introducción — 2. Objetivo — 3. Productos alcanzados — 4. Entrenamiento y validación del modelo de fraccionamiento — 5. Manual de implementación — 6. Plan de monitoreo y mantenimiento — 7. Transferencia de conocimiento — 8. Repositorio de código — 9. Conclusiones y recomendaciones — 10. Anexos</w:t>
      </w:r>
    </w:p>
    <w:p>
      <w:pPr>
        <w:pStyle w:val="Heading1"/>
        <w:spacing w:after="140" w:before="260"/>
      </w:pPr>
      <w:r>
        <w:t xml:space="preserve">1. Introducción</w:t>
      </w:r>
    </w:p>
    <w:p>
      <w:pPr>
        <w:spacing w:after="140"/>
      </w:pPr>
      <w:r>
        <w:rPr>
          <w:sz w:val="21"/>
          <w:szCs w:val="21"/>
        </w:rPr>
        <w:t xml:space="preserve">Documento de cierre de la consultoría de prueba de concepto para el "Módulo de análisis de datos para dar soporte a los auditores durante la ejecución de los servicios de control" del Proyecto Interno 1.8.2.</w:t>
      </w:r>
    </w:p>
    <w:p>
      <w:pPr>
        <w:pStyle w:val="Heading1"/>
        <w:spacing w:after="140" w:before="260"/>
      </w:pPr>
      <w:r>
        <w:t xml:space="preserve">2. Objetivo</w:t>
      </w:r>
    </w:p>
    <w:p>
      <w:pPr>
        <w:spacing w:after="140"/>
      </w:pPr>
      <w:r>
        <w:rPr>
          <w:sz w:val="21"/>
          <w:szCs w:val="21"/>
        </w:rPr>
        <w:t xml:space="preserve">Consolidar los resultados de los 7 productos, dejar documentado el estado técnico del prototipo, y establecer la ruta de trabajo hacia una versión de producción sobre la infraestructura institucional de la CGR.</w:t>
      </w:r>
    </w:p>
    <w:p>
      <w:pPr>
        <w:pStyle w:val="Heading1"/>
        <w:spacing w:after="140" w:before="260"/>
      </w:pPr>
      <w:r>
        <w:t xml:space="preserve">3. Productos Alcanzados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6000"/>
        <w:gridCol w:w="2100"/>
      </w:tblGrid>
      <w:t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60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2100"/>
            <w:shd w:fill="1F4E79" w:val="clear"/>
            <w:tcMar>
              <w:top w:type="dxa" w:w="50"/>
              <w:left w:type="dxa" w:w="90"/>
              <w:bottom w:type="dxa" w:w="50"/>
              <w:right w:type="dxa" w:w="90"/>
            </w:tcMar>
            <w:vAlign w:val="center"/>
          </w:tcPr>
          <w:p>
            <w:pPr>
              <w:jc w:val="left"/>
            </w:pPr>
            <w:r>
              <w:rPr>
                <w:b/>
                <w:bCs/>
                <w:color w:val="FFFFFF"/>
                <w:sz w:val="19"/>
                <w:szCs w:val="19"/>
              </w:rPr>
              <w:t xml:space="preserve">Estado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60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21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60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Favoritismo</w:t>
            </w:r>
          </w:p>
        </w:tc>
        <w:tc>
          <w:tcPr>
            <w:tcW w:type="dxa" w:w="21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60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Favoritismo</w:t>
            </w:r>
          </w:p>
        </w:tc>
        <w:tc>
          <w:tcPr>
            <w:tcW w:type="dxa" w:w="21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6000"/>
            <w:tcMar>
              <w:top w:type="dxa" w:w="50"/>
              <w:left w:type="dxa" w:w="90"/>
              <w:bottom w:type="dxa" w:w="50"/>
              <w:right w:type="dxa" w:w="90"/>
            </w:tcMar>
            <w:vAlign w:val="center"/>
          </w:tcPr>
          <w:p>
            <w:pPr>
              <w:jc w:val="center"/>
            </w:pPr>
            <w:r>
              <w:rPr>
                <w:b w:val="false"/>
                <w:bCs w:val="false"/>
                <w:color w:val="000000"/>
                <w:sz w:val="19"/>
                <w:szCs w:val="19"/>
              </w:rPr>
              <w:t xml:space="preserve">Entrenamiento y validación — Favoritismo (AUC-ROC 1.00)</w:t>
            </w:r>
          </w:p>
        </w:tc>
        <w:tc>
          <w:tcPr>
            <w:tcW w:type="dxa" w:w="21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60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Fraccionamiento</w:t>
            </w:r>
          </w:p>
        </w:tc>
        <w:tc>
          <w:tcPr>
            <w:tcW w:type="dxa" w:w="21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60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Fraccionamiento</w:t>
            </w:r>
          </w:p>
        </w:tc>
        <w:tc>
          <w:tcPr>
            <w:tcW w:type="dxa" w:w="21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6000"/>
            <w:tcMar>
              <w:top w:type="dxa" w:w="50"/>
              <w:left w:type="dxa" w:w="90"/>
              <w:bottom w:type="dxa" w:w="50"/>
              <w:right w:type="dxa" w:w="90"/>
            </w:tcMar>
            <w:vAlign w:val="center"/>
          </w:tcPr>
          <w:p>
            <w:pPr>
              <w:jc w:val="center"/>
            </w:pPr>
            <w:r>
              <w:rPr>
                <w:b w:val="false"/>
                <w:bCs w:val="false"/>
                <w:color w:val="000000"/>
                <w:sz w:val="19"/>
                <w:szCs w:val="19"/>
              </w:rPr>
              <w:t xml:space="preserve">Informe Final (este documento)</w:t>
            </w:r>
          </w:p>
        </w:tc>
        <w:tc>
          <w:tcPr>
            <w:tcW w:type="dxa" w:w="21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6000"/>
            <w:tcMar>
              <w:top w:type="dxa" w:w="50"/>
              <w:left w:type="dxa" w:w="90"/>
              <w:bottom w:type="dxa" w:w="50"/>
              <w:right w:type="dxa" w:w="90"/>
            </w:tcMar>
            <w:vAlign w:val="center"/>
          </w:tcPr>
          <w:p>
            <w:pPr>
              <w:jc w:val="center"/>
            </w:pPr>
            <w:r>
              <w:rPr>
                <w:b w:val="false"/>
                <w:bCs w:val="false"/>
                <w:color w:val="000000"/>
                <w:sz w:val="19"/>
                <w:szCs w:val="19"/>
              </w:rPr>
              <w:t xml:space="preserve">Análisis de vínculos proveedor-funcionario (numeral 4.2.4)</w:t>
            </w:r>
          </w:p>
        </w:tc>
        <w:tc>
          <w:tcPr>
            <w:tcW w:type="dxa" w:w="21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6000"/>
            <w:tcMar>
              <w:top w:type="dxa" w:w="50"/>
              <w:left w:type="dxa" w:w="90"/>
              <w:bottom w:type="dxa" w:w="50"/>
              <w:right w:type="dxa" w:w="90"/>
            </w:tcMar>
            <w:vAlign w:val="center"/>
          </w:tcPr>
          <w:p>
            <w:pPr>
              <w:jc w:val="center"/>
            </w:pPr>
            <w:r>
              <w:rPr>
                <w:b w:val="false"/>
                <w:bCs w:val="false"/>
                <w:color w:val="000000"/>
                <w:sz w:val="19"/>
                <w:szCs w:val="19"/>
              </w:rPr>
              <w:t xml:space="preserve">Diccionario de datos y diagrama del modelo (numeral 3.2.g)</w:t>
            </w:r>
          </w:p>
        </w:tc>
        <w:tc>
          <w:tcPr>
            <w:tcW w:type="dxa" w:w="21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bl>
    <w:p>
      <w:pPr>
        <w:pStyle w:val="Heading1"/>
        <w:spacing w:after="140" w:before="260"/>
      </w:pPr>
      <w:r>
        <w:t xml:space="preserve">4. Entrenamiento y Validación del Modelo de Fraccionamiento</w:t>
      </w:r>
    </w:p>
    <w:p>
      <w:pPr>
        <w:spacing w:after="140"/>
      </w:pPr>
      <w:r>
        <w:rPr>
          <w:sz w:val="21"/>
          <w:szCs w:val="21"/>
        </w:rPr>
        <w:t xml:space="preserve">Se comparó el desempeño del modelo estadístico puro contra la regla interpretable basada en el umbral legal de Adjudicación Simplificada, sobre 149 grupos proveedor-entidad-objeto con 8 casos de fraccionamiento sembrados.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000"/>
        <w:gridCol w:w="1400"/>
      </w:tblGrid>
      <w:tr>
        <w:tc>
          <w:tcPr>
            <w:tcW w:type="dxa" w:w="3400"/>
            <w:shd w:fill="1F4E79" w:val="clear"/>
            <w:tcMar>
              <w:top w:type="dxa" w:w="50"/>
              <w:left w:type="dxa" w:w="90"/>
              <w:bottom w:type="dxa" w:w="50"/>
              <w:right w:type="dxa" w:w="90"/>
            </w:tcMar>
            <w:vAlign w:val="center"/>
          </w:tcPr>
          <w:p>
            <w:pPr>
              <w:jc w:val="left"/>
            </w:pPr>
            <w:r>
              <w:rPr>
                <w:b/>
                <w:bCs/>
                <w:color w:val="FFFFFF"/>
                <w:sz w:val="19"/>
                <w:szCs w:val="19"/>
              </w:rPr>
              <w:t xml:space="preserve">Enfoque</w:t>
            </w:r>
          </w:p>
        </w:tc>
        <w:tc>
          <w:tcPr>
            <w:tcW w:type="dxa" w:w="2000"/>
            <w:shd w:fill="1F4E79" w:val="clear"/>
            <w:tcMar>
              <w:top w:type="dxa" w:w="50"/>
              <w:left w:type="dxa" w:w="90"/>
              <w:bottom w:type="dxa" w:w="50"/>
              <w:right w:type="dxa" w:w="90"/>
            </w:tcMar>
            <w:vAlign w:val="center"/>
          </w:tcPr>
          <w:p>
            <w:pPr>
              <w:jc w:val="left"/>
            </w:pPr>
            <w:r>
              <w:rPr>
                <w:b/>
                <w:bCs/>
                <w:color w:val="FFFFFF"/>
                <w:sz w:val="19"/>
                <w:szCs w:val="19"/>
              </w:rPr>
              <w:t xml:space="preserve">Grupos marcados</w:t>
            </w:r>
          </w:p>
        </w:tc>
        <w:tc>
          <w:tcPr>
            <w:tcW w:type="dxa" w:w="2000"/>
            <w:shd w:fill="1F4E79" w:val="clear"/>
            <w:tcMar>
              <w:top w:type="dxa" w:w="50"/>
              <w:left w:type="dxa" w:w="90"/>
              <w:bottom w:type="dxa" w:w="50"/>
              <w:right w:type="dxa" w:w="90"/>
            </w:tcMar>
            <w:vAlign w:val="center"/>
          </w:tcPr>
          <w:p>
            <w:pPr>
              <w:jc w:val="left"/>
            </w:pPr>
            <w:r>
              <w:rPr>
                <w:b/>
                <w:bCs/>
                <w:color w:val="FFFFFF"/>
                <w:sz w:val="19"/>
                <w:szCs w:val="19"/>
              </w:rPr>
              <w:t xml:space="preserve">Aciertos reales</w:t>
            </w:r>
          </w:p>
        </w:tc>
        <w:tc>
          <w:tcPr>
            <w:tcW w:type="dxa" w:w="1400"/>
            <w:shd w:fill="1F4E79" w:val="clear"/>
            <w:tcMar>
              <w:top w:type="dxa" w:w="50"/>
              <w:left w:type="dxa" w:w="90"/>
              <w:bottom w:type="dxa" w:w="50"/>
              <w:right w:type="dxa" w:w="90"/>
            </w:tcMar>
            <w:vAlign w:val="center"/>
          </w:tcPr>
          <w:p>
            <w:pPr>
              <w:jc w:val="left"/>
            </w:pPr>
            <w:r>
              <w:rPr>
                <w:b/>
                <w:bCs/>
                <w:color w:val="FFFFFF"/>
                <w:sz w:val="19"/>
                <w:szCs w:val="19"/>
              </w:rPr>
              <w:t xml:space="preserve">Precisión</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Isolation Forest (solo)</w:t>
            </w:r>
          </w:p>
        </w:tc>
        <w:tc>
          <w:tcPr>
            <w:tcW w:type="dxa" w:w="20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2000"/>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37.5%</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Regla interpretable (umbral legal)</w:t>
            </w:r>
          </w:p>
        </w:tc>
        <w:tc>
          <w:tcPr>
            <w:tcW w:type="dxa" w:w="20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20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Combinado (modelo Y regla)</w:t>
            </w:r>
          </w:p>
        </w:tc>
        <w:tc>
          <w:tcPr>
            <w:tcW w:type="dxa" w:w="2000"/>
            <w:tcMar>
              <w:top w:type="dxa" w:w="50"/>
              <w:left w:type="dxa" w:w="90"/>
              <w:bottom w:type="dxa" w:w="50"/>
              <w:right w:type="dxa" w:w="90"/>
            </w:tcMar>
            <w:vAlign w:val="center"/>
          </w:tcPr>
          <w:p>
            <w:pPr>
              <w:jc w:val="center"/>
            </w:pPr>
            <w:r>
              <w:rPr>
                <w:b w:val="false"/>
                <w:bCs w:val="false"/>
                <w:color w:val="000000"/>
                <w:sz w:val="19"/>
                <w:szCs w:val="19"/>
              </w:rPr>
              <w:t xml:space="preserve">2</w:t>
            </w:r>
          </w:p>
        </w:tc>
        <w:tc>
          <w:tcPr>
            <w:tcW w:type="dxa" w:w="2000"/>
            <w:tcMar>
              <w:top w:type="dxa" w:w="50"/>
              <w:left w:type="dxa" w:w="90"/>
              <w:bottom w:type="dxa" w:w="50"/>
              <w:right w:type="dxa" w:w="90"/>
            </w:tcMar>
            <w:vAlign w:val="center"/>
          </w:tcPr>
          <w:p>
            <w:pPr>
              <w:jc w:val="center"/>
            </w:pPr>
            <w:r>
              <w:rPr>
                <w:b w:val="false"/>
                <w:bCs w:val="false"/>
                <w:color w:val="000000"/>
                <w:sz w:val="19"/>
                <w:szCs w:val="19"/>
              </w:rPr>
              <w:t xml:space="preserve">2</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bl>
    <w:p>
      <w:pPr>
        <w:spacing w:after="140"/>
      </w:pPr>
      <w:r>
        <w:rPr>
          <w:sz w:val="21"/>
          <w:szCs w:val="21"/>
        </w:rPr>
        <w:t xml:space="preserve">Hallazgo principal de la consultoría: el conocimiento normativo del dominio (el umbral legal exacto) aporta más precisión que el modelo estadístico por sí solo. Se recomienda que el modelo de producción priorice la regla interpretable como filtro principal, usando el score de anomalía como señal secundaria de refuerzo, no al revés.</w:t>
      </w:r>
    </w:p>
    <w:p>
      <w:pPr>
        <w:pStyle w:val="Heading1"/>
        <w:spacing w:after="140" w:before="260"/>
      </w:pPr>
      <w:r>
        <w:t xml:space="preserve">5. Manual de Implementación</w:t>
      </w:r>
    </w:p>
    <w:p>
      <w:pPr>
        <w:spacing w:after="140"/>
      </w:pPr>
      <w:r>
        <w:rPr>
          <w:sz w:val="21"/>
          <w:szCs w:val="21"/>
        </w:rPr>
        <w:t xml:space="preserve">Orden de ejecución de los scripts para reproducir el prototipo completo desde cero:</w:t>
      </w:r>
    </w:p>
    <w:p>
      <w:pPr>
        <w:pStyle w:val="ListParagraph"/>
        <w:numPr>
          <w:ilvl w:val="0"/>
          <w:numId w:val="1"/>
        </w:numPr>
        <w:spacing w:after="70"/>
      </w:pPr>
      <w:r>
        <w:rPr>
          <w:sz w:val="21"/>
          <w:szCs w:val="21"/>
        </w:rPr>
        <w:t xml:space="preserve">1. src/generar_datos.py — genera el dataset base de contrataciones.</w:t>
      </w:r>
    </w:p>
    <w:p>
      <w:pPr>
        <w:pStyle w:val="ListParagraph"/>
        <w:numPr>
          <w:ilvl w:val="0"/>
          <w:numId w:val="1"/>
        </w:numPr>
        <w:spacing w:after="70"/>
      </w:pPr>
      <w:r>
        <w:rPr>
          <w:sz w:val="21"/>
          <w:szCs w:val="21"/>
        </w:rPr>
        <w:t xml:space="preserve">2. src/eda.py — análisis exploratorio (opcional, no genera datos para pasos posteriores).</w:t>
      </w:r>
    </w:p>
    <w:p>
      <w:pPr>
        <w:pStyle w:val="ListParagraph"/>
        <w:numPr>
          <w:ilvl w:val="0"/>
          <w:numId w:val="1"/>
        </w:numPr>
        <w:spacing w:after="70"/>
      </w:pPr>
      <w:r>
        <w:rPr>
          <w:sz w:val="21"/>
          <w:szCs w:val="21"/>
        </w:rPr>
        <w:t xml:space="preserve">3. src/preprocesamiento.py — limpieza y generación de los datasets de favoritismo y fraccionamiento.</w:t>
      </w:r>
    </w:p>
    <w:p>
      <w:pPr>
        <w:pStyle w:val="ListParagraph"/>
        <w:numPr>
          <w:ilvl w:val="0"/>
          <w:numId w:val="1"/>
        </w:numPr>
        <w:spacing w:after="70"/>
      </w:pPr>
      <w:r>
        <w:rPr>
          <w:sz w:val="21"/>
          <w:szCs w:val="21"/>
        </w:rPr>
        <w:t xml:space="preserve">4. src/modelo_favoritismo.py — entrena el modelo, genera SHAP y el ranking de riesgo.</w:t>
      </w:r>
    </w:p>
    <w:p>
      <w:pPr>
        <w:pStyle w:val="ListParagraph"/>
        <w:numPr>
          <w:ilvl w:val="0"/>
          <w:numId w:val="1"/>
        </w:numPr>
        <w:spacing w:after="70"/>
      </w:pPr>
      <w:r>
        <w:rPr>
          <w:sz w:val="21"/>
          <w:szCs w:val="21"/>
        </w:rPr>
        <w:t xml:space="preserve">5. src/modelo_fraccionamiento.py — entrena el modelo y evalúa la regla interpretable.</w:t>
      </w:r>
    </w:p>
    <w:p>
      <w:pPr>
        <w:pStyle w:val="ListParagraph"/>
        <w:numPr>
          <w:ilvl w:val="0"/>
          <w:numId w:val="1"/>
        </w:numPr>
        <w:spacing w:after="70"/>
      </w:pPr>
      <w:r>
        <w:rPr>
          <w:sz w:val="21"/>
          <w:szCs w:val="21"/>
        </w:rPr>
        <w:t xml:space="preserve">6. src/modelo_grafos.py — construye el grafo de vínculos proveedor-funcionario.</w:t>
      </w:r>
    </w:p>
    <w:p>
      <w:pPr>
        <w:pStyle w:val="ListParagraph"/>
        <w:numPr>
          <w:ilvl w:val="0"/>
          <w:numId w:val="1"/>
        </w:numPr>
        <w:spacing w:after="70"/>
      </w:pPr>
      <w:r>
        <w:rPr>
          <w:sz w:val="21"/>
          <w:szCs w:val="21"/>
        </w:rPr>
        <w:t xml:space="preserve">7. src/generar_diccionario_diagrama.py — genera el diccionario de datos y el diagrama ER.</w:t>
      </w:r>
    </w:p>
    <w:p>
      <w:pPr>
        <w:pStyle w:val="ListParagraph"/>
        <w:numPr>
          <w:ilvl w:val="0"/>
          <w:numId w:val="1"/>
        </w:numPr>
        <w:spacing w:after="70"/>
      </w:pPr>
      <w:r>
        <w:rPr>
          <w:sz w:val="21"/>
          <w:szCs w:val="21"/>
        </w:rPr>
        <w:t xml:space="preserve">8. reporte/generar_reporte.js (node) — consolida todo en el reporte técnico único.</w:t>
      </w:r>
    </w:p>
    <w:p>
      <w:pPr>
        <w:pStyle w:val="Heading1"/>
        <w:spacing w:after="140" w:before="260"/>
      </w:pPr>
      <w:r>
        <w:t xml:space="preserve">6. Plan de Monitoreo y Mantenimiento</w:t>
      </w:r>
    </w:p>
    <w:p>
      <w:pPr>
        <w:spacing w:after="140"/>
      </w:pPr>
      <w:r>
        <w:rPr>
          <w:sz w:val="21"/>
          <w:szCs w:val="21"/>
        </w:rPr>
        <w:t xml:space="preserve">Corresponde al numeral 3.2.c del TDR ("Estrategias de sostenibilidad del modelo"). Se recomienda: (1) reentrenamiento periódico (trimestral o ante cambios normativos de umbrales), (2) monitoreo de data drift comparando la distribución de nuevas contrataciones contra la distribución de entrenamiento, y (3) retroalimentación activa de auditores marcando falsos positivos/negativos, para reetiquetar casos y reentrenar — mecanismo de auto-mejora que reemplaza la falta de ground truth histórico.</w:t>
      </w:r>
    </w:p>
    <w:p>
      <w:pPr>
        <w:pStyle w:val="Heading1"/>
        <w:spacing w:after="140" w:before="260"/>
      </w:pPr>
      <w:r>
        <w:t xml:space="preserve">7. Transferencia de Conocimiento</w:t>
      </w:r>
    </w:p>
    <w:p>
      <w:pPr>
        <w:spacing w:after="140"/>
      </w:pPr>
      <w:r>
        <w:rPr>
          <w:sz w:val="21"/>
          <w:szCs w:val="21"/>
        </w:rPr>
        <w:t xml:space="preserve">Todo el código fuente está comentado en español, con docstrings que referencian el numeral específico del TDR que cada módulo cubre, para facilitar la revisión por personal no especializado en ciencia de datos. Se recomienda una sesión de walkthrough técnico con el equipo de la Subgerencia de Sistemas de Información y Analítica de Datos antes de cualquier decisión de continuar o no con una consultoría formal.</w:t>
      </w:r>
    </w:p>
    <w:p>
      <w:pPr>
        <w:pStyle w:val="Heading1"/>
        <w:spacing w:after="140" w:before="260"/>
      </w:pPr>
      <w:r>
        <w:t xml:space="preserve">8. Repositorio de Código</w:t>
      </w:r>
    </w:p>
    <w:p>
      <w:pPr>
        <w:spacing w:after="140"/>
      </w:pPr>
      <w:r>
        <w:rPr>
          <w:sz w:val="21"/>
          <w:szCs w:val="21"/>
        </w:rPr>
        <w:t xml:space="preserve">Repositorio público en GitHub (ver portada), organizado en carpetas data/ (datasets), src/ (scripts), outputs/ (gráficos, modelos entrenados y rankings de riesgo) y reporte/ (generación de documentos). Historial de commits documenta el avance producto por producto.</w:t>
      </w:r>
    </w:p>
    <w:p>
      <w:pPr>
        <w:pStyle w:val="Heading1"/>
        <w:spacing w:after="140" w:before="260"/>
      </w:pPr>
      <w:r>
        <w:t xml:space="preserve">9. Conclusiones y Recomendaciones</w:t>
      </w:r>
    </w:p>
    <w:p>
      <w:pPr>
        <w:spacing w:after="140"/>
      </w:pPr>
      <w:r>
        <w:rPr>
          <w:sz w:val="21"/>
          <w:szCs w:val="21"/>
        </w:rPr>
        <w:t xml:space="preserve">El prototipo demuestra que los tres casos de uso priorizados del TDR son técnicamente alcanzables con herramientas open source y en un plazo de desarrollo muy reducido frente a los 180 días previstos. El hallazgo más relevante — que la regla normativa supera al modelo estadístico puro en el caso de fraccionamiento — sugiere que gran parte del valor de esta consultoría está en la traducción del marco legal a reglas computables, no únicamente en la sofisticación del modelo. Se recomienda una fase piloto con datos reales, supervisada por auditores, antes de cualquier despliegue en producción.</w:t>
      </w:r>
    </w:p>
    <w:p>
      <w:pPr>
        <w:pStyle w:val="Heading1"/>
        <w:spacing w:after="140" w:before="260"/>
      </w:pPr>
      <w:r>
        <w:t xml:space="preserve">10. Anexos</w:t>
      </w:r>
    </w:p>
    <w:p>
      <w:pPr>
        <w:spacing w:after="140"/>
      </w:pPr>
      <w:r>
        <w:rPr>
          <w:sz w:val="21"/>
          <w:szCs w:val="21"/>
        </w:rPr>
        <w:t xml:space="preserve">Ver Productos 1 a 6 para el detalle metodológico completo de cada etapa, y el repositorio de código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2026-08-06T19:42:57.789Z</dcterms:created>
  <dcterms:modified xsi:type="dcterms:W3CDTF">2026-08-06T19:42:57.789Z</dcterms:modified>
</cp:coreProperties>
</file>

<file path=docProps/custom.xml><?xml version="1.0" encoding="utf-8"?>
<Properties xmlns="http://schemas.openxmlformats.org/officeDocument/2006/custom-properties" xmlns:vt="http://schemas.openxmlformats.org/officeDocument/2006/docPropsVTypes"/>
</file>