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4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Entrenamiento y Validación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259_3485568049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vigente usa predicciones out-of-fold y tuning reproducible. Random Forest alcanza AUC-PR 0.671, AUC-ROC 0.999, precision 66.7%, recall 33.3% y F1 0.444 en el benchmark sintético.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259_3485568049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1_3485568049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3_3485568049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5_3485568049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7_3485568049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9_3485568049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1_3485568049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3_3485568049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5_3485568049">
            <w:r>
              <w:rPr>
                <w:rStyle w:val="IndexLink"/>
              </w:rPr>
              <w:t>3.1 Métricas de evaluación inicial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7_3485568049">
            <w:r>
              <w:rPr>
                <w:rStyle w:val="IndexLink"/>
              </w:rPr>
              <w:t>3.2 Registro de experimentos y pruebas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9_3485568049">
            <w:r>
              <w:rPr>
                <w:rStyle w:val="IndexLink"/>
              </w:rPr>
              <w:t>3.3 Validación cruzada y evaluación exhaustiva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1_3485568049">
            <w:r>
              <w:rPr>
                <w:rStyle w:val="IndexLink"/>
              </w:rPr>
              <w:t>3.4 Ajuste de hiperparámetros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3_3485568049">
            <w:r>
              <w:rPr>
                <w:rStyle w:val="IndexLink"/>
              </w:rPr>
              <w:t>3.5 Persistencia del modelo entrenado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5_3485568049">
            <w:r>
              <w:rPr>
                <w:rStyle w:val="IndexLink"/>
              </w:rPr>
              <w:t>3.6 Análisis comparativo del rendimiento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7_3485568049">
            <w:r>
              <w:rPr>
                <w:rStyle w:val="IndexLink"/>
              </w:rPr>
              <w:t>3.7 Interpretabilidad y documentación técnica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9_3485568049">
            <w:r>
              <w:rPr>
                <w:rStyle w:val="IndexLink"/>
              </w:rPr>
              <w:t>4. Actividades Realizadas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1_3485568049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3_3485568049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5_3485568049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7_3485568049">
            <w:r>
              <w:rPr>
                <w:rStyle w:val="IndexLink"/>
              </w:rPr>
              <w:t>8. Anexos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9_3485568049">
            <w:r>
              <w:rPr>
                <w:rStyle w:val="IndexLink"/>
              </w:rPr>
              <w:t>Referencias Bibliográficas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261_3485568049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out-of-fold del modelo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Configuración de tuning del Random Forest</w:t>
      </w:r>
    </w:p>
    <w:p>
      <w:pPr>
        <w:pStyle w:val="Heading1"/>
        <w:spacing w:lineRule="exact" w:line="240" w:before="240" w:after="120"/>
        <w:rPr/>
      </w:pPr>
      <w:bookmarkStart w:id="2" w:name="__RefHeading___Toc2263_3485568049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Importancia de variables del Random Forest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Resumen SHAP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Explicación SHAP de un caso priorizado</w:t>
      </w:r>
    </w:p>
    <w:p>
      <w:pPr>
        <w:pStyle w:val="Heading1"/>
        <w:spacing w:lineRule="exact" w:line="240" w:before="240" w:after="120"/>
        <w:rPr/>
      </w:pPr>
      <w:bookmarkStart w:id="3" w:name="__RefHeading___Toc2265_3485568049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267_3485568049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269_3485568049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métricas iniciales, registro de experimentos, validación cruzada, tuning, persistencia, comparación de escenarios y documentación técnica para un eventual pase a certificación.</w:t>
      </w:r>
    </w:p>
    <w:p>
      <w:pPr>
        <w:pStyle w:val="Heading1"/>
        <w:spacing w:lineRule="exact" w:line="240" w:before="240" w:after="120"/>
        <w:rPr/>
      </w:pPr>
      <w:bookmarkStart w:id="6" w:name="__RefHeading___Toc2271_3485568049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273_3485568049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275_3485568049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Métricas de evaluación inicial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out-of-fold del modelo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0.671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2277_3485568049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Registro de experimentos y pruebas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resultados de Regresión Logística, Random Forest y Gradient Boosting se almacenan en outputs/comparacion_modelos_favoritismo.json y .csv; la grilla de tuning y su resumen se almacenan en outputs/tuning_favoritismo_resultados.csv y outputs/tuning_favoritismo_resumen.json.</w:t>
      </w:r>
    </w:p>
    <w:p>
      <w:pPr>
        <w:pStyle w:val="Heading2"/>
        <w:spacing w:lineRule="exact" w:line="240" w:before="180" w:after="80"/>
        <w:rPr/>
      </w:pPr>
      <w:bookmarkStart w:id="10" w:name="__RefHeading___Toc2279_3485568049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Validación cruzada y evaluación exhaustiva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predicciones out-of-fold, StratifiedKFold 3-fold, mismas particiones para todos. La métrica primaria es AUC-PR por desbalance severo. La comparación usa exactamente las mismas particiones para todos los candidatos.</w:t>
      </w:r>
    </w:p>
    <w:p>
      <w:pPr>
        <w:pStyle w:val="Heading2"/>
        <w:spacing w:lineRule="exact" w:line="240" w:before="180" w:after="80"/>
        <w:rPr/>
      </w:pPr>
      <w:bookmarkStart w:id="11" w:name="__RefHeading___Toc2281_3485568049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Ajuste de hiperparámetros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Configuración de tuning del Random Forest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999"/>
        <w:gridCol w:w="4800"/>
      </w:tblGrid>
      <w:tr>
        <w:trPr>
          <w:tblHeader w:val="true"/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 de selección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average_precision (AUC-PR)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StratifiedKFold(n_splits=3, shuffle=True, random_state=42)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n_estimators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max_depth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min_samples_leaf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 AUC-PR CV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0.844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2283_3485568049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Persistencia del modelo entrenado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modelo sklearn seleccionado se persiste en outputs/models/modelo_favoritismo_rf.joblib. Los modelos Spark se regeneran en runtime y se versionan mediante sus configuraciones, métricas y rankings reproducibles, evitando binarios Spark con metadata no determinística.</w:t>
      </w:r>
    </w:p>
    <w:p>
      <w:pPr>
        <w:pStyle w:val="Heading2"/>
        <w:spacing w:lineRule="exact" w:line="240" w:before="180" w:after="80"/>
        <w:rPr/>
      </w:pPr>
      <w:bookmarkStart w:id="13" w:name="__RefHeading___Toc2285_3485568049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Análisis comparativo del rendimiento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deliberadamente incluye hard negatives. La reducción respecto de resultados perfectos antiguos se considera una mejora metodológica, porque hace visible la incertidumbre y reduce el riesgo de sobreinterpretación.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Importancia de variables del Random Forest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4" w:name="__RefHeading___Toc2287_3485568049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3.7 Interpretabilidad y documentación técnica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Resumen SHAP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3. Explicación SHAP de un caso priorizado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 para un eventual pase a certificación queda trazada mediante run_manifest.json, diccionario de datos, linaje, parámetros y métricas. La certificación formal depende de CGR.</w:t>
      </w:r>
    </w:p>
    <w:p>
      <w:pPr>
        <w:pStyle w:val="Heading1"/>
        <w:spacing w:lineRule="exact" w:line="240" w:before="240" w:after="120"/>
        <w:rPr/>
      </w:pPr>
      <w:bookmarkStart w:id="15" w:name="__RefHeading___Toc2289_3485568049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predicciones OOF y comparación de candidatos.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Tuning sistemático por AUC-PR y persistencia de configuración.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Entrenamiento final y persistencia del Random Forest sklearn.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importancia de variables y explicaciones SHAP globales e individuales.</w:t>
      </w:r>
    </w:p>
    <w:p>
      <w:pPr>
        <w:pStyle w:val="Heading1"/>
        <w:spacing w:lineRule="exact" w:line="240" w:before="240" w:after="120"/>
        <w:rPr/>
      </w:pPr>
      <w:bookmarkStart w:id="16" w:name="__RefHeading___Toc2291_3485568049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Entrenamiento, validación, tuning, persistencia e interpretabilidad completados para el PoC. El pase por ambientes institucionales y la certificación funcional no pueden demostrarse fuera de CGR.</w:t>
      </w:r>
    </w:p>
    <w:p>
      <w:pPr>
        <w:pStyle w:val="Heading1"/>
        <w:spacing w:lineRule="exact" w:line="240" w:before="240" w:after="120"/>
        <w:rPr/>
      </w:pPr>
      <w:bookmarkStart w:id="17" w:name="__RefHeading___Toc2293_3485568049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clase positiva es pequeña y sintética; las métricas deben leerse como benchmark metodológico.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No existe todavía ground truth real validado por auditores para medir generalización productiva.</w:t>
      </w:r>
    </w:p>
    <w:p>
      <w:pPr>
        <w:pStyle w:val="Heading1"/>
        <w:spacing w:lineRule="exact" w:line="240" w:before="240" w:after="120"/>
        <w:rPr/>
      </w:pPr>
      <w:bookmarkStart w:id="18" w:name="__RefHeading___Toc2295_3485568049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es reproducible y metodológicamente más exigente. Se recomienda mantener AUC-PR como métrica primaria, conservar SHAP para explicabilidad y repetir la evaluación con particiones temporales o por entidad cuando exista ground truth institucional.</w:t>
      </w:r>
    </w:p>
    <w:p>
      <w:pPr>
        <w:pStyle w:val="Heading1"/>
        <w:spacing w:lineRule="exact" w:line="240" w:before="240" w:after="120"/>
        <w:rPr/>
      </w:pPr>
      <w:bookmarkStart w:id="19" w:name="__RefHeading___Toc2297_3485568049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20" w:name="__RefHeading___Toc2299_3485568049"/>
      <w:bookmarkEnd w:id="2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Entrenamiento y Validación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2026-08-08T03:15:36Z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2026-08-08T03:15:40Z</dcterms:modified>
  <cp:revision>2</cp:revision>
  <dc:subject/>
  <dc:title>Entrenamiento y Validación del Modelo para Identificación de Proveedores Favoritos - Prototipo independiente CGR 1.8.2</dc:title>
</cp:coreProperties>
</file>