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(depende de Delta Lake)</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(como Parquet, no Delta Lake)</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requiere Maven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requiere Maven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Bloqueado — sin paquete disponible en este entorno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Hadoop/YARN, HDFS, GraphX y Delta Lake requieren descargar un .jar o tarball desde Maven Central o Apache, dominios fuera de la lista de salida permitida aquí. Con acceso a internet sin restricciones (ej. un servidor de la CGR), esto no es un límite técnico real.</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ListParagraph"/>
        <w:numPr>
          <w:ilvl w:val="0"/>
          <w:numId w:val="1"/>
        </w:numPr>
        <w:spacing w:after="80"/>
      </w:pPr>
      <w:r>
        <w:rPr>
          <w:sz w:val="22"/>
          <w:szCs w:val="22"/>
        </w:rPr>
        <w:t xml:space="preserve">GraphX/GraphFrames para el módulo de vínculos: se intentó explícitamente (dos rutas distintas — resolución vía Maven en tiempo de ejecución, y un .jar empaquetado en PyPI) y ambas fallaron por falta de acceso a Maven Central desde este entorno y por incompatibilidad binaria (Scala 2.11 vs. 2.13 de Spark 4.2). networkx (Sección 5) no es una simplificación de conveniencia; es la única opción funcional verificada aquí.</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2026-08-06T21:39:26.774Z</dcterms:created>
  <dcterms:modified xsi:type="dcterms:W3CDTF">2026-08-06T21:39:26.786Z</dcterms:modified>
</cp:coreProperties>
</file>

<file path=docProps/custom.xml><?xml version="1.0" encoding="utf-8"?>
<Properties xmlns="http://schemas.openxmlformats.org/officeDocument/2006/custom-properties" xmlns:vt="http://schemas.openxmlformats.org/officeDocument/2006/docPropsVTypes"/>
</file>