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5</w:t>
      </w:r>
    </w:p>
    <w:p>
      <w:pPr>
        <w:spacing w:after="300" w:before="150"/>
        <w:jc w:val="center"/>
      </w:pPr>
      <w:r>
        <w:rPr>
          <w:b/>
          <w:bCs/>
          <w:sz w:val="30"/>
          <w:szCs w:val="30"/>
        </w:rPr>
        <w:t xml:space="preserve">Limpieza y Preprocesamiento — Fraccionamiento</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elaborado como prueba de concepto (proof of concept) — no constituye una postulación formal</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Se construyeron 149 grupos proveedor-entidad-objeto (con 2 o más contratos) con variables de ventana temporal, a partir del mismo dataset limpio del Producto 2, orientadas específicamente a la detección de compras divididas.</w:t>
      </w:r>
    </w:p>
    <w:p>
      <w:pPr>
        <w:pStyle w:val="Heading1"/>
        <w:spacing w:after="140" w:before="260"/>
      </w:pPr>
      <w:r>
        <w:t xml:space="preserve">Índice</w:t>
      </w:r>
    </w:p>
    <w:p>
      <w:pPr>
        <w:spacing w:after="140"/>
      </w:pPr>
      <w:r>
        <w:rPr>
          <w:sz w:val="21"/>
          <w:szCs w:val="21"/>
        </w:rPr>
        <w:t xml:space="preserve">1. Introducción — 2. Objetivo de la consultoría — 3. Productos alcanzados — 4. Actividades realizadas — 5. Grado de cumplimiento — 6. Dificultades y limitaciones — 7. Conclusiones y recomendaciones — 8. Anexos</w:t>
      </w:r>
    </w:p>
    <w:p>
      <w:pPr>
        <w:pStyle w:val="Heading1"/>
        <w:spacing w:after="140" w:before="260"/>
      </w:pPr>
      <w:r>
        <w:t xml:space="preserve">1. Introducción</w:t>
      </w:r>
    </w:p>
    <w:p>
      <w:pPr>
        <w:spacing w:after="140"/>
      </w:pPr>
      <w:r>
        <w:rPr>
          <w:sz w:val="21"/>
          <w:szCs w:val="21"/>
        </w:rPr>
        <w:t xml:space="preserve">Cubre el numeral 4.1.4 y 4.1.5 del TDR aplicados al caso de uso de detección de fraccionamiento, incorporando el umbral normativo de Adjudicación Simplificada (S/. 400,000) como variable derivada.</w:t>
      </w:r>
    </w:p>
    <w:p>
      <w:pPr>
        <w:pStyle w:val="Heading1"/>
        <w:spacing w:after="140" w:before="260"/>
      </w:pPr>
      <w:r>
        <w:t xml:space="preserve">2. Objetivo de la Consultoría</w:t>
      </w:r>
    </w:p>
    <w:p>
      <w:pPr>
        <w:spacing w:after="140"/>
      </w:pPr>
      <w:r>
        <w:rPr>
          <w:sz w:val="21"/>
          <w:szCs w:val="21"/>
        </w:rPr>
        <w:t xml:space="preserve">Desarrollar modelos de ciencia de datos y machine learning que permitan la identificación temprana de proveedores favorecidos, la detección de fraccionamiento indebido del gasto público, y la evaluación de vínculos impropios entre proveedores y funcionarios.</w:t>
      </w:r>
    </w:p>
    <w:p>
      <w:pPr>
        <w:pStyle w:val="Heading1"/>
        <w:spacing w:after="140" w:before="260"/>
      </w:pPr>
      <w:r>
        <w:t xml:space="preserve">3. Productos Alcanzados</w:t>
      </w:r>
    </w:p>
    <w:p>
      <w:pPr>
        <w:pStyle w:val="ListParagraph"/>
        <w:numPr>
          <w:ilvl w:val="0"/>
          <w:numId w:val="1"/>
        </w:numPr>
        <w:spacing w:after="70"/>
      </w:pPr>
      <w:r>
        <w:rPr>
          <w:sz w:val="21"/>
          <w:szCs w:val="21"/>
        </w:rPr>
        <w:t xml:space="preserve">Reutilización de la limpieza base del Producto 2 (mismos 239 valores nulos imputados, mismo tratamiento de outliers).</w:t>
      </w:r>
    </w:p>
    <w:p>
      <w:pPr>
        <w:pStyle w:val="ListParagraph"/>
        <w:numPr>
          <w:ilvl w:val="0"/>
          <w:numId w:val="1"/>
        </w:numPr>
        <w:spacing w:after="70"/>
      </w:pPr>
      <w:r>
        <w:rPr>
          <w:sz w:val="21"/>
          <w:szCs w:val="21"/>
        </w:rPr>
        <w:t xml:space="preserve">Feature engineering específico: máximo de contratos del grupo en cualquier ventana móvil de 15 días; suma de montos en esa ventana; % de contratos con monto justo debajo del umbral de Adjudicación Simplificada.</w:t>
      </w:r>
    </w:p>
    <w:p>
      <w:pPr>
        <w:pStyle w:val="ListParagraph"/>
        <w:numPr>
          <w:ilvl w:val="0"/>
          <w:numId w:val="1"/>
        </w:numPr>
        <w:spacing w:after="70"/>
      </w:pPr>
      <w:r>
        <w:rPr>
          <w:sz w:val="21"/>
          <w:szCs w:val="21"/>
        </w:rPr>
        <w:t xml:space="preserve">Agrupación a nivel proveedor+entidad+objeto contractual (149 grupos con 2 o más contratos, de un total de miles de combinaciones posibles).</w:t>
      </w:r>
    </w:p>
    <w:p>
      <w:pPr>
        <w:pStyle w:val="ListParagraph"/>
        <w:numPr>
          <w:ilvl w:val="0"/>
          <w:numId w:val="1"/>
        </w:numPr>
        <w:spacing w:after="70"/>
      </w:pPr>
      <w:r>
        <w:rPr>
          <w:sz w:val="21"/>
          <w:szCs w:val="21"/>
        </w:rPr>
        <w:t xml:space="preserve">División de datos: el dataset se usa íntegramente para detección de anomalías no supervisada (Producto 6), no requiere partición train/test tradicional.</w:t>
      </w:r>
    </w:p>
    <w:p>
      <w:pPr>
        <w:pStyle w:val="Heading1"/>
        <w:spacing w:after="140" w:before="260"/>
      </w:pPr>
      <w:r>
        <w:t xml:space="preserve">4. Actividades Realizadas</w:t>
      </w:r>
    </w:p>
    <w:p>
      <w:pPr>
        <w:pStyle w:val="ListParagraph"/>
        <w:numPr>
          <w:ilvl w:val="0"/>
          <w:numId w:val="1"/>
        </w:numPr>
        <w:spacing w:after="70"/>
      </w:pPr>
      <w:r>
        <w:rPr>
          <w:sz w:val="21"/>
          <w:szCs w:val="21"/>
        </w:rPr>
        <w:t xml:space="preserve">Ejecución de src/preprocesamiento.py, función features_fraccionamiento().</w:t>
      </w:r>
    </w:p>
    <w:p>
      <w:pPr>
        <w:pStyle w:val="ListParagraph"/>
        <w:numPr>
          <w:ilvl w:val="0"/>
          <w:numId w:val="1"/>
        </w:numPr>
        <w:spacing w:after="70"/>
      </w:pPr>
      <w:r>
        <w:rPr>
          <w:sz w:val="21"/>
          <w:szCs w:val="21"/>
        </w:rPr>
        <w:t xml:space="preserve">Cálculo de ventanas deslizantes de 15 días por grupo proveedor-entidad-objeto.</w:t>
      </w:r>
    </w:p>
    <w:p>
      <w:pPr>
        <w:pStyle w:val="Heading1"/>
        <w:spacing w:after="140" w:before="260"/>
      </w:pPr>
      <w:r>
        <w:t xml:space="preserve">5. Grado de Cumplimiento del Producto</w:t>
      </w:r>
    </w:p>
    <w:p>
      <w:pPr>
        <w:spacing w:after="140"/>
      </w:pPr>
      <w:r>
        <w:rPr>
          <w:sz w:val="21"/>
          <w:szCs w:val="21"/>
        </w:rPr>
        <w:t xml:space="preserve">100% completado. El dataset resultante recupera correctamente los 8 casos de fraccionamiento sembrados como grupos de alta frecuencia de contratación en ventanas cortas.</w:t>
      </w:r>
    </w:p>
    <w:p>
      <w:pPr>
        <w:pStyle w:val="Heading1"/>
        <w:spacing w:after="140" w:before="260"/>
      </w:pPr>
      <w:r>
        <w:t xml:space="preserve">6. Dificultades y Limitaciones Encontradas</w:t>
      </w:r>
    </w:p>
    <w:p>
      <w:pPr>
        <w:pStyle w:val="ListParagraph"/>
        <w:numPr>
          <w:ilvl w:val="0"/>
          <w:numId w:val="1"/>
        </w:numPr>
        <w:spacing w:after="70"/>
      </w:pPr>
      <w:r>
        <w:rPr>
          <w:sz w:val="21"/>
          <w:szCs w:val="21"/>
        </w:rPr>
        <w:t xml:space="preserve">El umbral de S/. 400,000 usado corresponde a la Adjudicación Simplificada vigente a la fecha de este prototipo; debe mantenerse actualizado según la normativa vigente (Ley 32069 / OECE) en producción.</w:t>
      </w:r>
    </w:p>
    <w:p>
      <w:pPr>
        <w:pStyle w:val="Heading1"/>
        <w:spacing w:after="140" w:before="260"/>
      </w:pPr>
      <w:r>
        <w:t xml:space="preserve">7. Conclusiones y Recomendaciones</w:t>
      </w:r>
    </w:p>
    <w:p>
      <w:pPr>
        <w:spacing w:after="140"/>
      </w:pPr>
      <w:r>
        <w:rPr>
          <w:sz w:val="21"/>
          <w:szCs w:val="21"/>
        </w:rPr>
        <w:t xml:space="preserve">La variable de ventana temporal combinada con el umbral normativo es la señal más fuerte para este caso de uso, como se confirma en el Producto 6. Esta lógica se reprodujo sin cambios sobre Spark real (ventanas móviles vía Window functions) y sobre 47,442 contratos reales de SEACE — ver Producto 7, Secciones 4 y 10.</w:t>
      </w:r>
    </w:p>
    <w:p>
      <w:pPr>
        <w:pStyle w:val="Heading1"/>
        <w:spacing w:after="140" w:before="260"/>
      </w:pPr>
      <w:r>
        <w:t xml:space="preserve">8. Anexos</w:t>
      </w:r>
    </w:p>
    <w:p>
      <w:pPr>
        <w:spacing w:after="140"/>
      </w:pPr>
      <w:r>
        <w:rPr>
          <w:sz w:val="21"/>
          <w:szCs w:val="21"/>
        </w:rPr>
        <w:t xml:space="preserve">Código fuente y datasets: ver repositorio indicado en la portada.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Limpieza y Preprocesamiento — Fraccionamiento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2026-08-07T17:16:48.362Z</dcterms:created>
  <dcterms:modified xsi:type="dcterms:W3CDTF">2026-08-07T17:16:48.362Z</dcterms:modified>
</cp:coreProperties>
</file>

<file path=docProps/custom.xml><?xml version="1.0" encoding="utf-8"?>
<Properties xmlns="http://schemas.openxmlformats.org/officeDocument/2006/custom-properties" xmlns:vt="http://schemas.openxmlformats.org/officeDocument/2006/docPropsVTypes"/>
</file>