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jc w:val="center"/>
      </w:pPr>
      <w:r>
        <w:rPr>
          <w:b/>
          <w:bCs/>
          <w:color w:val="1F4E79"/>
          <w:sz w:val="26"/>
          <w:szCs w:val="26"/>
        </w:rPr>
        <w:t xml:space="preserve">PRODUCTO N° 6</w:t>
      </w:r>
    </w:p>
    <w:p>
      <w:pPr>
        <w:spacing w:after="300" w:before="150"/>
        <w:jc w:val="center"/>
      </w:pPr>
      <w:r>
        <w:rPr>
          <w:b/>
          <w:bCs/>
          <w:sz w:val="30"/>
          <w:szCs w:val="30"/>
        </w:rPr>
        <w:t xml:space="preserve">Selección y Desarrollo del Modelo — Fraccionamiento</w:t>
      </w:r>
    </w:p>
    <w:p>
      <w:pPr>
        <w:spacing w:after="600"/>
        <w:jc w:val="center"/>
      </w:pPr>
      <w:r>
        <w:rPr>
          <w:i/>
          <w:iCs/>
          <w:sz w:val="21"/>
          <w:szCs w:val="21"/>
        </w:rPr>
        <w:t xml:space="preserve">"Módulo de Análisis de Datos para Dar Soporte a los Auditores Durante la Ejecución de los Servicios de Control" — Proyecto Interno 1.8.2</w:t>
      </w:r>
    </w:p>
    <w:p>
      <w:pPr>
        <w:spacing w:before="700"/>
        <w:jc w:val="center"/>
      </w:pPr>
      <w:r>
        <w:rPr>
          <w:sz w:val="19"/>
          <w:szCs w:val="19"/>
        </w:rPr>
        <w:t xml:space="preserve">Prototipo elaborado como prueba de concepto (proof of concept) — no constituye una postulación formal</w:t>
      </w:r>
    </w:p>
    <w:p>
      <w:pPr>
        <w:spacing w:before="900"/>
        <w:jc w:val="center"/>
      </w:pPr>
      <w:r>
        <w:rPr>
          <w:b/>
          <w:bCs/>
          <w:sz w:val="18"/>
          <w:szCs w:val="18"/>
        </w:rPr>
        <w:t xml:space="preserve">Repositorio de código fuente:</w:t>
      </w:r>
    </w:p>
    <w:p>
      <w:pPr>
        <w:jc w:val="center"/>
      </w:pPr>
      <w:r>
        <w:rPr>
          <w:color w:val="1F4E79"/>
          <w:sz w:val="18"/>
          <w:szCs w:val="18"/>
        </w:rPr>
        <w:t xml:space="preserve">https://github.com/NoeCalle/cgr-analisis-datos</w:t>
      </w:r>
    </w:p>
    <w:p>
      <w:pPr>
        <w:spacing w:before="1000"/>
        <w:jc w:val="center"/>
      </w:pPr>
      <w:r>
        <w:rPr>
          <w:sz w:val="18"/>
          <w:szCs w:val="18"/>
        </w:rPr>
        <w:t xml:space="preserve">Agosto 2026</w:t>
      </w:r>
    </w:p>
    <w:p>
      <w:pPr>
        <w:sectPr>
          <w:pgSz w:w="11906" w:h="16838" w:orient="portrait"/>
          <w:pgMar w:top="1440" w:right="1440" w:bottom="1440" w:left="1440" w:header="708" w:footer="708" w:gutter="0"/>
          <w:pgNumType/>
          <w:docGrid w:linePitch="360"/>
        </w:sectPr>
      </w:pPr>
    </w:p>
    <w:p>
      <w:pPr>
        <w:pStyle w:val="Heading1"/>
        <w:spacing w:after="140" w:before="260"/>
      </w:pPr>
      <w:r>
        <w:t xml:space="preserve">Resumen Ejecutivo</w:t>
      </w:r>
    </w:p>
    <w:p>
      <w:pPr>
        <w:spacing w:after="140"/>
      </w:pPr>
      <w:r>
        <w:rPr>
          <w:sz w:val="21"/>
          <w:szCs w:val="21"/>
        </w:rPr>
        <w:t xml:space="preserve">Se optó por combinar un modelo no supervisado de detección de anomalías (Isolation Forest) con una regla de negocio explícita basada en el umbral legal de Adjudicación Simplificada, tras confirmar que el modelo estadístico puro por sí solo es insuficiente.</w:t>
      </w:r>
    </w:p>
    <w:p>
      <w:pPr>
        <w:pStyle w:val="Heading1"/>
        <w:spacing w:after="140" w:before="260"/>
      </w:pPr>
      <w:r>
        <w:t xml:space="preserve">Índice</w:t>
      </w:r>
    </w:p>
    <w:p>
      <w:pPr>
        <w:spacing w:after="140"/>
      </w:pPr>
      <w:r>
        <w:rPr>
          <w:sz w:val="21"/>
          <w:szCs w:val="21"/>
        </w:rPr>
        <w:t xml:space="preserve">1. Introducción — 2. Objetivo de la consultoría — 3. Productos alcanzados — 4. Actividades realizadas — 5. Grado de cumplimiento — 6. Dificultades y limitaciones — 7. Conclusiones y recomendaciones — 8. Anexos</w:t>
      </w:r>
    </w:p>
    <w:p>
      <w:pPr>
        <w:pStyle w:val="Heading1"/>
        <w:spacing w:after="140" w:before="260"/>
      </w:pPr>
      <w:r>
        <w:t xml:space="preserve">1. Introducción</w:t>
      </w:r>
    </w:p>
    <w:p>
      <w:pPr>
        <w:spacing w:after="140"/>
      </w:pPr>
      <w:r>
        <w:rPr>
          <w:sz w:val="21"/>
          <w:szCs w:val="21"/>
        </w:rPr>
        <w:t xml:space="preserve">Cubre el numeral 4.2.1 y 4.2.3 del TDR: técnicas de agrupamiento o detección de anomalías para identificar patrones de compras repetitivas o divididas.</w:t>
      </w:r>
    </w:p>
    <w:p>
      <w:pPr>
        <w:pStyle w:val="Heading1"/>
        <w:spacing w:after="140" w:before="260"/>
      </w:pPr>
      <w:r>
        <w:t xml:space="preserve">2. Objetivo de la Consultoría</w:t>
      </w:r>
    </w:p>
    <w:p>
      <w:pPr>
        <w:spacing w:after="140"/>
      </w:pPr>
      <w:r>
        <w:rPr>
          <w:sz w:val="21"/>
          <w:szCs w:val="21"/>
        </w:rPr>
        <w:t xml:space="preserve">Desarrollar modelos de ciencia de datos y machine learning que permitan la identificación temprana de proveedores favorecidos, la detección de fraccionamiento indebido del gasto público, y la evaluación de vínculos impropios entre proveedores y funcionarios.</w:t>
      </w:r>
    </w:p>
    <w:p>
      <w:pPr>
        <w:pStyle w:val="Heading1"/>
        <w:spacing w:after="140" w:before="260"/>
      </w:pPr>
      <w:r>
        <w:t xml:space="preserve">3. Productos Alcanzados</w:t>
      </w:r>
    </w:p>
    <w:p>
      <w:pPr>
        <w:pStyle w:val="ListParagraph"/>
        <w:numPr>
          <w:ilvl w:val="0"/>
          <w:numId w:val="1"/>
        </w:numPr>
        <w:spacing w:after="70"/>
      </w:pPr>
      <w:r>
        <w:rPr>
          <w:sz w:val="21"/>
          <w:szCs w:val="21"/>
        </w:rPr>
        <w:t xml:space="preserve">Propuesta fundamentada: se evaluó clustering (K-Means) y detección de anomalías (Isolation Forest); se eligió Isolation Forest por no requerir definir a priori el número de grupos, adecuado para un fenómeno de baja frecuencia como el fraccionamiento.</w:t>
      </w:r>
    </w:p>
    <w:p>
      <w:pPr>
        <w:pStyle w:val="ListParagraph"/>
        <w:numPr>
          <w:ilvl w:val="0"/>
          <w:numId w:val="1"/>
        </w:numPr>
        <w:spacing w:after="70"/>
      </w:pPr>
      <w:r>
        <w:rPr>
          <w:sz w:val="21"/>
          <w:szCs w:val="21"/>
        </w:rPr>
        <w:t xml:space="preserve">Arquitectura: Isolation Forest con 300 estimadores, contaminación estimada dinámicamente según la proporción esperada de casos atípicos.</w:t>
      </w:r>
    </w:p>
    <w:p>
      <w:pPr>
        <w:pStyle w:val="ListParagraph"/>
        <w:numPr>
          <w:ilvl w:val="0"/>
          <w:numId w:val="1"/>
        </w:numPr>
        <w:spacing w:after="70"/>
      </w:pPr>
      <w:r>
        <w:rPr>
          <w:sz w:val="21"/>
          <w:szCs w:val="21"/>
        </w:rPr>
        <w:t xml:space="preserve">Complemento interpretable: regla explícita (≥3 contratos en ventana de 15 días Y ≥70% de montos bajo el umbral legal), incorporada como artefacto de "caja blanca" adicional al modelo estadístico.</w:t>
      </w:r>
    </w:p>
    <w:p>
      <w:pPr>
        <w:pStyle w:val="ListParagraph"/>
        <w:numPr>
          <w:ilvl w:val="0"/>
          <w:numId w:val="1"/>
        </w:numPr>
        <w:spacing w:after="70"/>
      </w:pPr>
      <w:r>
        <w:rPr>
          <w:sz w:val="21"/>
          <w:szCs w:val="21"/>
        </w:rPr>
        <w:t xml:space="preserve">Reporte de implementación: prototipo en scikit-learn (IsolationForest). Actualización: se ejecutó también en Spark MLlib real usando KMeans (pyspark.ml.clustering), ya que MLlib no tiene Isolation Forest nativo y no existe un paquete confiable que lo agregue sin acceso a Maven. Resultado real en Spark: 0/8 casos detectados (peor que Isolation Forest, que detectó 3/8) — ver Producto 7, Sección 4.</w:t>
      </w:r>
    </w:p>
    <w:p>
      <w:pPr>
        <w:pStyle w:val="ListParagraph"/>
        <w:numPr>
          <w:ilvl w:val="0"/>
          <w:numId w:val="1"/>
        </w:numPr>
        <w:spacing w:after="70"/>
      </w:pPr>
      <w:r>
        <w:rPr>
          <w:sz w:val="21"/>
          <w:szCs w:val="21"/>
        </w:rPr>
        <w:t xml:space="preserve">Documentación de parámetros: ver src/modelo_fraccionamiento.py y src/spark/modelo_fraccionamiento_spark.py.</w:t>
      </w:r>
    </w:p>
    <w:p>
      <w:pPr>
        <w:pStyle w:val="Heading1"/>
        <w:spacing w:after="140" w:before="260"/>
      </w:pPr>
      <w:r>
        <w:t xml:space="preserve">4. Actividades Realizadas</w:t>
      </w:r>
    </w:p>
    <w:p>
      <w:pPr>
        <w:pStyle w:val="ListParagraph"/>
        <w:numPr>
          <w:ilvl w:val="0"/>
          <w:numId w:val="1"/>
        </w:numPr>
        <w:spacing w:after="70"/>
      </w:pPr>
      <w:r>
        <w:rPr>
          <w:sz w:val="21"/>
          <w:szCs w:val="21"/>
        </w:rPr>
        <w:t xml:space="preserve">Entrenamiento del modelo de detección de anomalías sobre el dataset del Producto 5, en scikit-learn y en Spark MLlib real.</w:t>
      </w:r>
    </w:p>
    <w:p>
      <w:pPr>
        <w:pStyle w:val="ListParagraph"/>
        <w:numPr>
          <w:ilvl w:val="0"/>
          <w:numId w:val="1"/>
        </w:numPr>
        <w:spacing w:after="70"/>
      </w:pPr>
      <w:r>
        <w:rPr>
          <w:sz w:val="21"/>
          <w:szCs w:val="21"/>
        </w:rPr>
        <w:t xml:space="preserve">Diseño y prueba de la regla interpretable basada en el umbral normativo, reproducida sin cambios en ambas plataformas.</w:t>
      </w:r>
    </w:p>
    <w:p>
      <w:pPr>
        <w:pStyle w:val="ListParagraph"/>
        <w:numPr>
          <w:ilvl w:val="0"/>
          <w:numId w:val="1"/>
        </w:numPr>
        <w:spacing w:after="70"/>
      </w:pPr>
      <w:r>
        <w:rPr>
          <w:sz w:val="21"/>
          <w:szCs w:val="21"/>
        </w:rPr>
        <w:t xml:space="preserve">Comparación cuantitativa entre los tres enfoques — Isolation Forest, KMeans en Spark, y la regla (ver Producto 7).</w:t>
      </w:r>
    </w:p>
    <w:p>
      <w:pPr>
        <w:pStyle w:val="Heading1"/>
        <w:spacing w:after="140" w:before="260"/>
      </w:pPr>
      <w:r>
        <w:t xml:space="preserve">5. Grado de Cumplimiento del Producto</w:t>
      </w:r>
    </w:p>
    <w:p>
      <w:pPr>
        <w:spacing w:after="140"/>
      </w:pPr>
      <w:r>
        <w:rPr>
          <w:sz w:val="21"/>
          <w:szCs w:val="21"/>
        </w:rPr>
        <w:t xml:space="preserve">100% completado, incluyendo la validación en Spark MLlib real. El hallazgo se reforzó con evidencia adicional: ni Isolation Forest ni KMeans (ambos algoritmos estadísticos, en dos plataformas distintas) igualan la precisión de la regla interpretable — documentado explícitamente en el Producto 7.</w:t>
      </w:r>
    </w:p>
    <w:p>
      <w:pPr>
        <w:pStyle w:val="Heading1"/>
        <w:spacing w:after="140" w:before="260"/>
      </w:pPr>
      <w:r>
        <w:t xml:space="preserve">6. Dificultades y Limitaciones Encontradas</w:t>
      </w:r>
    </w:p>
    <w:p>
      <w:pPr>
        <w:pStyle w:val="ListParagraph"/>
        <w:numPr>
          <w:ilvl w:val="0"/>
          <w:numId w:val="1"/>
        </w:numPr>
        <w:spacing w:after="70"/>
      </w:pPr>
      <w:r>
        <w:rPr>
          <w:sz w:val="21"/>
          <w:szCs w:val="21"/>
        </w:rPr>
        <w:t xml:space="preserve">Spark MLlib no incluye una implementación nativa de Isolation Forest, y el paquete GraphFrames/Delta que sí requerían Maven se resolvieron por separado (ver Producto 7) — pero Isolation Forest en sí no tiene equivalente instalable en MLlib, por lo que se usó KMeans como sustituto nativo, con peor resultado (0/8 vs. 3/8), reforzando aún más la conclusión de este producto.</w:t>
      </w:r>
    </w:p>
    <w:p>
      <w:pPr>
        <w:pStyle w:val="Heading1"/>
        <w:spacing w:after="140" w:before="260"/>
      </w:pPr>
      <w:r>
        <w:t xml:space="preserve">7. Conclusiones y Recomendaciones</w:t>
      </w:r>
    </w:p>
    <w:p>
      <w:pPr>
        <w:spacing w:after="140"/>
      </w:pPr>
      <w:r>
        <w:rPr>
          <w:sz w:val="21"/>
          <w:szCs w:val="21"/>
        </w:rPr>
        <w:t xml:space="preserve">El enfoque combinado (modelo + regla normativa) es el recomendado para producción, no el modelo estadístico de forma aislada.</w:t>
      </w:r>
    </w:p>
    <w:p>
      <w:pPr>
        <w:pStyle w:val="Heading1"/>
        <w:spacing w:after="140" w:before="260"/>
      </w:pPr>
      <w:r>
        <w:t xml:space="preserve">8. Anexos</w:t>
      </w:r>
    </w:p>
    <w:p>
      <w:pPr>
        <w:spacing w:after="140"/>
      </w:pPr>
      <w:r>
        <w:rPr>
          <w:sz w:val="21"/>
          <w:szCs w:val="21"/>
        </w:rPr>
        <w:t xml:space="preserve">Código fuente y datasets: ver repositorio indicado en la portada.</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17"/>
        <w:szCs w:val="17"/>
      </w:rPr>
      <w:t xml:space="preserve">Página </w:t>
    </w:r>
    <w:r>
      <w:rPr>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5"/>
        <w:szCs w:val="15"/>
      </w:rPr>
      <w:t xml:space="preserve">Selección y Desarrollo del Modelo — Fraccionamiento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2026-08-07T17:16:48.368Z</dcterms:created>
  <dcterms:modified xsi:type="dcterms:W3CDTF">2026-08-07T17:16:48.368Z</dcterms:modified>
</cp:coreProperties>
</file>

<file path=docProps/custom.xml><?xml version="1.0" encoding="utf-8"?>
<Properties xmlns="http://schemas.openxmlformats.org/officeDocument/2006/custom-properties" xmlns:vt="http://schemas.openxmlformats.org/officeDocument/2006/docPropsVTypes"/>
</file>