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14.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La lógica de modelado fue validada en scikit-learn y en Apache Spark MLlib real (Sección 8), orquestada de punta a punta con Apache Airflow real (Sección 9), optimizada mediante búsqueda sistemática de hiperparámetros en ambas plataformas (Sección 10), extraída siguiendo los estándares SQL institucionales de la CGR (Sección 11), y publicada en un esquema listo para SSRS con un reporte .rdl real (Sección 12) — no solo de forma teórica en ningún punto del pipeline.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2026-08-06T20:39:54.529Z</dcterms:created>
  <dcterms:modified xsi:type="dcterms:W3CDTF">2026-08-06T20:39:54.529Z</dcterms:modified>
</cp:coreProperties>
</file>

<file path=docProps/custom.xml><?xml version="1.0" encoding="utf-8"?>
<Properties xmlns="http://schemas.openxmlformats.org/officeDocument/2006/custom-properties" xmlns:vt="http://schemas.openxmlformats.org/officeDocument/2006/docPropsVTypes"/>
</file>