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2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Limpieza y Preprocesamiento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Se procesaron 3,709 contratos sintéticos para construir 2,328 pares proveedor-entidad, con 6 positivos sembrados. El dataset incorpora features separadas para Contratación Directa y Comparación de Precios.</w:t>
      </w:r>
    </w:p>
    <w:p>
      <w:pPr>
        <w:spacing w:after="140"/>
      </w:pPr>
      <w:r>
        <w:rPr>
          <w:sz w:val="21"/>
          <w:szCs w:val="21"/>
        </w:rPr>
        <w:t xml:space="preserve">Nota metodológica: este es un prototipo independiente. Las métricas del benchmark sintético evalúan la coherencia del PoC y no estiman desempeño productivo. Las salidas sobre datos públicos son señales de priorización para revisión de auditor y no constituyen hallazgos ni determinaciones automáticas de irregularidad.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limpieza, transformación y feature engineering del caso de uso de priorización de posible favoritismo.</w:t>
      </w:r>
    </w:p>
    <w:p>
      <w:pPr>
        <w:pStyle w:val="Heading1"/>
        <w:spacing w:after="140" w:before="260"/>
      </w:pPr>
      <w:r>
        <w:t xml:space="preserve">2. Objetivo</w:t>
      </w:r>
    </w:p>
    <w:p>
      <w:pPr>
        <w:spacing w:after="140"/>
      </w:pPr>
      <w:r>
        <w:rPr>
          <w:sz w:val="21"/>
          <w:szCs w:val="21"/>
        </w:rPr>
        <w:t xml:space="preserve">Desarrollar y validar una prueba de concepto de analítica de datos que priorice señales de posible favoritismo, posible fraccionamiento y vínculos proveedor-funcionario para apoyar la revisión del auditor.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Calidad base: 241 valores nulos distribuidos en 237 filas; la imputación se ejecuta de forma reproducible.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Tratamiento de monto: percentil 99 = S/ 736,486; 37 registros quedan identificados para capping en la transformación.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Codificación y normalización reproducibles; las modalidades se preservan sin convertir Comparación de Precios en sinónimo de Contratación Directa.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Features proveedor-entidad: volumen, monto, diversidad de objetos, concentración, funcionarios distintos, actividad temporal, intensidad contractual y variables separadas por modalidad.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dataset analítico se publica en lakehouse/plata/dataset_favoritismo.csv y es la entrada preferente de los modelos.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Generación determinística del benchmark sintético con hard negatives.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EDA, limpieza, imputación, capping, codificación y feature engineering.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Publicación en capa Plata y validación automática de esquema en GitHub Actions.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Núcleo técnico completado para el PoC y cubierto por CI. No equivale a certificación con datos internos CGR.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ground truth es sintético; sirve para probar el pipeline, no para estimar precisión real.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validación institucional requiere fuentes internas, reglas de negocio acordadas y etiquetado por auditores.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El preprocesamiento es reproducible y ahora evita una de las principales fuentes de sesgo normativo del diseño anterior: colapsar modalidades distintas en una sola variable.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Código, datasets y evidencia machine-readable: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Limpieza y Preprocesamiento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2026-08-08T00:41:42.713Z</dcterms:created>
  <dcterms:modified xsi:type="dcterms:W3CDTF">2026-08-08T00:41:42.713Z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