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La validación vigente evita el resultado artificialmente perfecto de versiones anteriores. Random Forest alcanza AUC-PR OOF 0.671, AUC-ROC 0.999, precision 66.7%, recall 33.3% y F1 0.444.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entrenamiento, validación cruzada, tuning e interpretabilidad del modelo supervisado.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Benchmark: 2,328 pares, 6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OOF Random Forest: AUC-PR 0.671, AUC-ROC 0.999, precision 66.7%, recall 33.3%,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CV: mejor AUC-PR medio 0.844 con 100 árboles y profundidad 3.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SHAP se mantiene como mecanismo de explicación global e individual del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evidencia se versiona en outputs/comparacion_modelos_favoritismo.json y outputs/tuning_favoritismo_resumen.json.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out-of-fold con particiones estratificadas.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sistemático y persistencia de configuración.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ranking y artefactos de explicación para revisión humana.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de validación completado para el PoC. No se afirma desempeño productivo ni certificación institucional.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clase positiva es muy pequeña; AUC-PR y F1 deben leerse como indicadores del benchmark, no como garantías.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nueva validación es deliberadamente más exigente y creíble que la versión anterior. El modelo prioriza revisión; no determina favoritismo.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2026-08-08T00:41:42.718Z</dcterms:created>
  <dcterms:modified xsi:type="dcterms:W3CDTF">2026-08-08T00:41:42.718Z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