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INFORME FINAL / REPORTE TÉCNICO</w:t>
      </w:r>
    </w:p>
    <w:p>
      <w:pPr>
        <w:pStyle w:val="Normal"/>
        <w:keepNext w:val="false"/>
        <w:spacing w:lineRule="exact" w:line="240" w:before="0" w:after="260"/>
        <w:jc w:val="center"/>
        <w:rPr/>
      </w:pPr>
      <w:r>
        <w:rPr>
          <w:rFonts w:eastAsia="Arial" w:cs="Arial"/>
          <w:b/>
          <w:bCs/>
          <w:color w:val="000000"/>
          <w:sz w:val="22"/>
          <w:szCs w:val="22"/>
        </w:rPr>
        <w:t>Informe Final Técnico Consolidado del Prototipo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773_1801721159"/>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El prototipo independiente del Módulo de Análisis de Datos implementa un pipeline reproducible para preparación de datos, priorización de señales de posible favoritismo y fraccionamiento, análisis de vínculos, Spark MLlib, GraphFrames, Airflow, Lakehouse local, trazabilidad y generación automática de documentación. La auditoría técnica del repositorio corrigió la integridad OCDS, la semántica de modalidades, el leakage metodológico, la gobernanza de reentrenamiento y la deriva entre código y documentos. Las salidas son señales para revisión humana y no constituyen hallazgos.</w:t>
      </w:r>
    </w:p>
    <w:p>
      <w:pPr>
        <w:pStyle w:val="Normal"/>
        <w:keepNext w:val="false"/>
        <w:spacing w:lineRule="exact" w:line="240" w:before="0" w:after="80"/>
        <w:jc w:val="both"/>
        <w:rPr/>
      </w:pPr>
      <w:r>
        <w:rPr>
          <w:rFonts w:eastAsia="Arial" w:cs="Arial"/>
          <w:color w:val="000000"/>
          <w:sz w:val="22"/>
          <w:szCs w:val="22"/>
        </w:rPr>
        <w:t>Prototipo independiente. Las métricas sintéticas evalúan el PoC y no estiman desempeño productivo. El análisis de pagos usa datos sintéticos y no representa SIAF real. Las salidas sobre datos públicos son señales de priorización para revisión y no constituyen hallazgos ni determinaciones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773_1801721159">
            <w:r>
              <w:rPr>
                <w:rStyle w:val="IndexLink"/>
              </w:rPr>
              <w:t>Resumen Ejecutivo</w:t>
              <w:tab/>
              <w:t>2</w:t>
            </w:r>
          </w:hyperlink>
        </w:p>
        <w:p>
          <w:pPr>
            <w:pStyle w:val="TOC1"/>
            <w:tabs>
              <w:tab w:val="clear" w:pos="9026"/>
              <w:tab w:val="right" w:pos="9025" w:leader="dot"/>
            </w:tabs>
            <w:rPr/>
          </w:pPr>
          <w:hyperlink w:anchor="__RefHeading___Toc775_1801721159">
            <w:r>
              <w:rPr>
                <w:rStyle w:val="IndexLink"/>
              </w:rPr>
              <w:t>Índice de Tablas o Cuadros</w:t>
              <w:tab/>
              <w:t>2</w:t>
            </w:r>
          </w:hyperlink>
        </w:p>
        <w:p>
          <w:pPr>
            <w:pStyle w:val="TOC1"/>
            <w:tabs>
              <w:tab w:val="clear" w:pos="9026"/>
              <w:tab w:val="right" w:pos="9025" w:leader="dot"/>
            </w:tabs>
            <w:rPr/>
          </w:pPr>
          <w:hyperlink w:anchor="__RefHeading___Toc777_1801721159">
            <w:r>
              <w:rPr>
                <w:rStyle w:val="IndexLink"/>
              </w:rPr>
              <w:t>Índice de Gráficos</w:t>
              <w:tab/>
              <w:t>2</w:t>
            </w:r>
          </w:hyperlink>
        </w:p>
        <w:p>
          <w:pPr>
            <w:pStyle w:val="TOC1"/>
            <w:tabs>
              <w:tab w:val="clear" w:pos="9026"/>
              <w:tab w:val="right" w:pos="9025" w:leader="dot"/>
            </w:tabs>
            <w:rPr/>
          </w:pPr>
          <w:hyperlink w:anchor="__RefHeading___Toc779_1801721159">
            <w:r>
              <w:rPr>
                <w:rStyle w:val="IndexLink"/>
              </w:rPr>
              <w:t>Lista de Abreviaturas y Acrónimos</w:t>
              <w:tab/>
              <w:t>3</w:t>
            </w:r>
          </w:hyperlink>
        </w:p>
        <w:p>
          <w:pPr>
            <w:pStyle w:val="TOC1"/>
            <w:tabs>
              <w:tab w:val="clear" w:pos="9026"/>
              <w:tab w:val="right" w:pos="9025" w:leader="dot"/>
            </w:tabs>
            <w:rPr/>
          </w:pPr>
          <w:hyperlink w:anchor="__RefHeading___Toc781_1801721159">
            <w:r>
              <w:rPr>
                <w:rStyle w:val="IndexLink"/>
              </w:rPr>
              <w:t>Glosario</w:t>
              <w:tab/>
              <w:t>3</w:t>
            </w:r>
          </w:hyperlink>
        </w:p>
        <w:p>
          <w:pPr>
            <w:pStyle w:val="TOC1"/>
            <w:tabs>
              <w:tab w:val="clear" w:pos="9026"/>
              <w:tab w:val="right" w:pos="9025" w:leader="dot"/>
            </w:tabs>
            <w:rPr/>
          </w:pPr>
          <w:hyperlink w:anchor="__RefHeading___Toc783_1801721159">
            <w:r>
              <w:rPr>
                <w:rStyle w:val="IndexLink"/>
              </w:rPr>
              <w:t>1. Introducción</w:t>
              <w:tab/>
              <w:t>4</w:t>
            </w:r>
          </w:hyperlink>
        </w:p>
        <w:p>
          <w:pPr>
            <w:pStyle w:val="TOC1"/>
            <w:tabs>
              <w:tab w:val="clear" w:pos="9026"/>
              <w:tab w:val="right" w:pos="9025" w:leader="dot"/>
            </w:tabs>
            <w:rPr/>
          </w:pPr>
          <w:hyperlink w:anchor="__RefHeading___Toc785_1801721159">
            <w:r>
              <w:rPr>
                <w:rStyle w:val="IndexLink"/>
              </w:rPr>
              <w:t>2. Objetivo de Consultoría</w:t>
              <w:tab/>
              <w:t>4</w:t>
            </w:r>
          </w:hyperlink>
        </w:p>
        <w:p>
          <w:pPr>
            <w:pStyle w:val="TOC1"/>
            <w:tabs>
              <w:tab w:val="clear" w:pos="9026"/>
              <w:tab w:val="right" w:pos="9025" w:leader="dot"/>
            </w:tabs>
            <w:rPr/>
          </w:pPr>
          <w:hyperlink w:anchor="__RefHeading___Toc787_1801721159">
            <w:r>
              <w:rPr>
                <w:rStyle w:val="IndexLink"/>
              </w:rPr>
              <w:t>3. Productos Alcanzados</w:t>
              <w:tab/>
              <w:t>4</w:t>
            </w:r>
          </w:hyperlink>
        </w:p>
        <w:p>
          <w:pPr>
            <w:pStyle w:val="TOC2"/>
            <w:tabs>
              <w:tab w:val="clear" w:pos="8743"/>
              <w:tab w:val="right" w:pos="9025" w:leader="dot"/>
            </w:tabs>
            <w:rPr/>
          </w:pPr>
          <w:hyperlink w:anchor="__RefHeading___Toc789_1801721159">
            <w:r>
              <w:rPr>
                <w:rStyle w:val="IndexLink"/>
              </w:rPr>
              <w:t>3.1 Arquitectura, datos y trazabilidad</w:t>
              <w:tab/>
              <w:t>4</w:t>
            </w:r>
          </w:hyperlink>
        </w:p>
        <w:p>
          <w:pPr>
            <w:pStyle w:val="TOC2"/>
            <w:tabs>
              <w:tab w:val="clear" w:pos="8743"/>
              <w:tab w:val="right" w:pos="9025" w:leader="dot"/>
            </w:tabs>
            <w:rPr/>
          </w:pPr>
          <w:hyperlink w:anchor="__RefHeading___Toc791_1801721159">
            <w:r>
              <w:rPr>
                <w:rStyle w:val="IndexLink"/>
              </w:rPr>
              <w:t>3.2 Preparación y benchmark sintético</w:t>
              <w:tab/>
              <w:t>5</w:t>
            </w:r>
          </w:hyperlink>
        </w:p>
        <w:p>
          <w:pPr>
            <w:pStyle w:val="TOC2"/>
            <w:tabs>
              <w:tab w:val="clear" w:pos="8743"/>
              <w:tab w:val="right" w:pos="9025" w:leader="dot"/>
            </w:tabs>
            <w:rPr/>
          </w:pPr>
          <w:hyperlink w:anchor="__RefHeading___Toc793_1801721159">
            <w:r>
              <w:rPr>
                <w:rStyle w:val="IndexLink"/>
              </w:rPr>
              <w:t>3.3 Modelo de priorización de posible favoritismo</w:t>
              <w:tab/>
              <w:t>5</w:t>
            </w:r>
          </w:hyperlink>
        </w:p>
        <w:p>
          <w:pPr>
            <w:pStyle w:val="TOC2"/>
            <w:tabs>
              <w:tab w:val="clear" w:pos="8743"/>
              <w:tab w:val="right" w:pos="9025" w:leader="dot"/>
            </w:tabs>
            <w:rPr/>
          </w:pPr>
          <w:hyperlink w:anchor="__RefHeading___Toc795_1801721159">
            <w:r>
              <w:rPr>
                <w:rStyle w:val="IndexLink"/>
              </w:rPr>
              <w:t>3.4 Modelo de priorización de posible fraccionamiento</w:t>
              <w:tab/>
              <w:t>6</w:t>
            </w:r>
          </w:hyperlink>
        </w:p>
        <w:p>
          <w:pPr>
            <w:pStyle w:val="TOC2"/>
            <w:tabs>
              <w:tab w:val="clear" w:pos="8743"/>
              <w:tab w:val="right" w:pos="9025" w:leader="dot"/>
            </w:tabs>
            <w:rPr/>
          </w:pPr>
          <w:hyperlink w:anchor="__RefHeading___Toc797_1801721159">
            <w:r>
              <w:rPr>
                <w:rStyle w:val="IndexLink"/>
              </w:rPr>
              <w:t>3.5 Implementación Spark MLlib y GraphFrames</w:t>
              <w:tab/>
              <w:t>7</w:t>
            </w:r>
          </w:hyperlink>
        </w:p>
        <w:p>
          <w:pPr>
            <w:pStyle w:val="TOC2"/>
            <w:tabs>
              <w:tab w:val="clear" w:pos="8743"/>
              <w:tab w:val="right" w:pos="9025" w:leader="dot"/>
            </w:tabs>
            <w:rPr/>
          </w:pPr>
          <w:hyperlink w:anchor="__RefHeading___Toc799_1801721159">
            <w:r>
              <w:rPr>
                <w:rStyle w:val="IndexLink"/>
              </w:rPr>
              <w:t>3.6 Validación de integridad con datos públicos OCDS/OECE</w:t>
              <w:tab/>
              <w:t>8</w:t>
            </w:r>
          </w:hyperlink>
        </w:p>
        <w:p>
          <w:pPr>
            <w:pStyle w:val="TOC2"/>
            <w:tabs>
              <w:tab w:val="clear" w:pos="8743"/>
              <w:tab w:val="right" w:pos="9025" w:leader="dot"/>
            </w:tabs>
            <w:rPr/>
          </w:pPr>
          <w:hyperlink w:anchor="__RefHeading___Toc801_1801721159">
            <w:r>
              <w:rPr>
                <w:rStyle w:val="IndexLink"/>
              </w:rPr>
              <w:t>3.7 Autoevaluación, mantenimiento y gobernanza</w:t>
              <w:tab/>
              <w:t>8</w:t>
            </w:r>
          </w:hyperlink>
        </w:p>
        <w:p>
          <w:pPr>
            <w:pStyle w:val="TOC2"/>
            <w:tabs>
              <w:tab w:val="clear" w:pos="8743"/>
              <w:tab w:val="right" w:pos="9025" w:leader="dot"/>
            </w:tabs>
            <w:rPr/>
          </w:pPr>
          <w:hyperlink w:anchor="__RefHeading___Toc803_1801721159">
            <w:r>
              <w:rPr>
                <w:rStyle w:val="IndexLink"/>
              </w:rPr>
              <w:t>3.8 Reporting, documentación y reproducibilidad</w:t>
              <w:tab/>
              <w:t>9</w:t>
            </w:r>
          </w:hyperlink>
        </w:p>
        <w:p>
          <w:pPr>
            <w:pStyle w:val="TOC2"/>
            <w:tabs>
              <w:tab w:val="clear" w:pos="8743"/>
              <w:tab w:val="right" w:pos="9025" w:leader="dot"/>
            </w:tabs>
            <w:rPr/>
          </w:pPr>
          <w:hyperlink w:anchor="__RefHeading___Toc805_1801721159">
            <w:r>
              <w:rPr>
                <w:rStyle w:val="IndexLink"/>
              </w:rPr>
              <w:t>3.9 Matriz de cierre frente al TDR</w:t>
              <w:tab/>
              <w:t>9</w:t>
            </w:r>
          </w:hyperlink>
        </w:p>
        <w:p>
          <w:pPr>
            <w:pStyle w:val="TOC1"/>
            <w:tabs>
              <w:tab w:val="clear" w:pos="9026"/>
              <w:tab w:val="right" w:pos="9025" w:leader="dot"/>
            </w:tabs>
            <w:rPr/>
          </w:pPr>
          <w:hyperlink w:anchor="__RefHeading___Toc807_1801721159">
            <w:r>
              <w:rPr>
                <w:rStyle w:val="IndexLink"/>
              </w:rPr>
              <w:t>4. Conclusiones y Recomendaciones</w:t>
              <w:tab/>
              <w:t>9</w:t>
            </w:r>
          </w:hyperlink>
        </w:p>
        <w:p>
          <w:pPr>
            <w:pStyle w:val="TOC1"/>
            <w:tabs>
              <w:tab w:val="clear" w:pos="9026"/>
              <w:tab w:val="right" w:pos="9025" w:leader="dot"/>
            </w:tabs>
            <w:rPr/>
          </w:pPr>
          <w:hyperlink w:anchor="__RefHeading___Toc809_1801721159">
            <w:r>
              <w:rPr>
                <w:rStyle w:val="IndexLink"/>
              </w:rPr>
              <w:t>5. Anexos</w:t>
              <w:tab/>
              <w:t>10</w:t>
            </w:r>
          </w:hyperlink>
        </w:p>
        <w:p>
          <w:pPr>
            <w:pStyle w:val="TOC1"/>
            <w:tabs>
              <w:tab w:val="clear" w:pos="9026"/>
              <w:tab w:val="right" w:pos="9025" w:leader="dot"/>
            </w:tabs>
            <w:rPr/>
          </w:pPr>
          <w:hyperlink w:anchor="__RefHeading___Toc811_1801721159">
            <w:r>
              <w:rPr>
                <w:rStyle w:val="IndexLink"/>
              </w:rPr>
              <w:t>ANEXO TÉCNICO SPRINT 4 — ANÁLISIS DE PAGOS Y MODALIDADES</w:t>
              <w:tab/>
              <w:t>10</w:t>
            </w:r>
          </w:hyperlink>
        </w:p>
        <w:p>
          <w:pPr>
            <w:pStyle w:val="TOC2"/>
            <w:tabs>
              <w:tab w:val="clear" w:pos="8743"/>
              <w:tab w:val="right" w:pos="9025" w:leader="dot"/>
            </w:tabs>
            <w:rPr/>
          </w:pPr>
          <w:hyperlink w:anchor="__RefHeading___Toc813_1801721159">
            <w:r>
              <w:rPr>
                <w:rStyle w:val="IndexLink"/>
              </w:rPr>
              <w:t>Resultados reproducibles</w:t>
              <w:tab/>
              <w:t>10</w:t>
            </w:r>
          </w:hyperlink>
        </w:p>
        <w:p>
          <w:pPr>
            <w:pStyle w:val="TOC2"/>
            <w:tabs>
              <w:tab w:val="clear" w:pos="8743"/>
              <w:tab w:val="right" w:pos="9025" w:leader="dot"/>
            </w:tabs>
            <w:rPr/>
          </w:pPr>
          <w:hyperlink w:anchor="__RefHeading___Toc815_1801721159">
            <w:r>
              <w:rPr>
                <w:rStyle w:val="IndexLink"/>
              </w:rPr>
              <w:t>Distribución de pagos</w:t>
              <w:tab/>
              <w:t>11</w:t>
            </w:r>
          </w:hyperlink>
        </w:p>
        <w:p>
          <w:pPr>
            <w:pStyle w:val="TOC2"/>
            <w:tabs>
              <w:tab w:val="clear" w:pos="8743"/>
              <w:tab w:val="right" w:pos="9025" w:leader="dot"/>
            </w:tabs>
            <w:rPr/>
          </w:pPr>
          <w:hyperlink w:anchor="__RefHeading___Toc817_1801721159">
            <w:r>
              <w:rPr>
                <w:rStyle w:val="IndexLink"/>
              </w:rPr>
              <w:t>Modalidades por régimen</w:t>
              <w:tab/>
              <w:t>11</w:t>
            </w:r>
          </w:hyperlink>
        </w:p>
        <w:p>
          <w:pPr>
            <w:pStyle w:val="TOC2"/>
            <w:tabs>
              <w:tab w:val="clear" w:pos="8743"/>
              <w:tab w:val="right" w:pos="9025" w:leader="dot"/>
            </w:tabs>
            <w:rPr/>
          </w:pPr>
          <w:hyperlink w:anchor="__RefHeading___Toc819_1801721159">
            <w:r>
              <w:rPr>
                <w:rStyle w:val="IndexLink"/>
              </w:rPr>
              <w:t>Limitación institucional</w:t>
              <w:tab/>
              <w:t>11</w:t>
            </w:r>
          </w:hyperlink>
        </w:p>
        <w:p>
          <w:pPr>
            <w:pStyle w:val="TOC1"/>
            <w:tabs>
              <w:tab w:val="clear" w:pos="9026"/>
              <w:tab w:val="right" w:pos="9025" w:leader="dot"/>
            </w:tabs>
            <w:rPr/>
          </w:pPr>
          <w:hyperlink w:anchor="__RefHeading___Toc821_1801721159">
            <w:r>
              <w:rPr>
                <w:rStyle w:val="IndexLink"/>
              </w:rPr>
              <w:t>Referencias Bibliográficas</w:t>
              <w:tab/>
              <w:t>11</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775_1801721159"/>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Estado de componentes del prototipo</w:t>
      </w:r>
    </w:p>
    <w:p>
      <w:pPr>
        <w:pStyle w:val="Normal"/>
        <w:keepNext w:val="false"/>
        <w:spacing w:lineRule="exact" w:line="240" w:before="0" w:after="35"/>
        <w:jc w:val="left"/>
        <w:rPr/>
      </w:pPr>
      <w:r>
        <w:rPr>
          <w:rFonts w:eastAsia="Arial" w:cs="Arial"/>
          <w:color w:val="000000"/>
          <w:sz w:val="22"/>
          <w:szCs w:val="22"/>
        </w:rPr>
        <w:t>2. Resumen del benchmark sintético</w:t>
      </w:r>
    </w:p>
    <w:p>
      <w:pPr>
        <w:pStyle w:val="Normal"/>
        <w:keepNext w:val="false"/>
        <w:spacing w:lineRule="exact" w:line="240" w:before="0" w:after="35"/>
        <w:jc w:val="left"/>
        <w:rPr/>
      </w:pPr>
      <w:r>
        <w:rPr>
          <w:rFonts w:eastAsia="Arial" w:cs="Arial"/>
          <w:color w:val="000000"/>
          <w:sz w:val="22"/>
          <w:szCs w:val="22"/>
        </w:rPr>
        <w:t>3. Comparación de modelos de favoritismo</w:t>
      </w:r>
    </w:p>
    <w:p>
      <w:pPr>
        <w:pStyle w:val="Normal"/>
        <w:keepNext w:val="false"/>
        <w:spacing w:lineRule="exact" w:line="240" w:before="0" w:after="35"/>
        <w:jc w:val="left"/>
        <w:rPr/>
      </w:pPr>
      <w:r>
        <w:rPr>
          <w:rFonts w:eastAsia="Arial" w:cs="Arial"/>
          <w:color w:val="000000"/>
          <w:sz w:val="22"/>
          <w:szCs w:val="22"/>
        </w:rPr>
        <w:t>4. Métricas holdout de fraccionamiento</w:t>
      </w:r>
    </w:p>
    <w:p>
      <w:pPr>
        <w:pStyle w:val="Normal"/>
        <w:keepNext w:val="false"/>
        <w:spacing w:lineRule="exact" w:line="240" w:before="0" w:after="35"/>
        <w:jc w:val="left"/>
        <w:rPr/>
      </w:pPr>
      <w:r>
        <w:rPr>
          <w:rFonts w:eastAsia="Arial" w:cs="Arial"/>
          <w:color w:val="000000"/>
          <w:sz w:val="22"/>
          <w:szCs w:val="22"/>
        </w:rPr>
        <w:t>5. Validación de integridad OCDS/OECE</w:t>
      </w:r>
    </w:p>
    <w:p>
      <w:pPr>
        <w:pStyle w:val="Normal"/>
        <w:keepNext w:val="false"/>
        <w:spacing w:lineRule="exact" w:line="240" w:before="0" w:after="35"/>
        <w:jc w:val="left"/>
        <w:rPr/>
      </w:pPr>
      <w:r>
        <w:rPr>
          <w:rFonts w:eastAsia="Arial" w:cs="Arial"/>
          <w:color w:val="000000"/>
          <w:sz w:val="22"/>
          <w:szCs w:val="22"/>
        </w:rPr>
        <w:t>6. Evidencia Spark y GraphFrames</w:t>
      </w:r>
    </w:p>
    <w:p>
      <w:pPr>
        <w:pStyle w:val="Normal"/>
        <w:keepNext w:val="false"/>
        <w:spacing w:lineRule="exact" w:line="240" w:before="0" w:after="35"/>
        <w:jc w:val="left"/>
        <w:rPr/>
      </w:pPr>
      <w:r>
        <w:rPr>
          <w:rFonts w:eastAsia="Arial" w:cs="Arial"/>
          <w:color w:val="000000"/>
          <w:sz w:val="22"/>
          <w:szCs w:val="22"/>
        </w:rPr>
        <w:t>7. Matriz de cierre: PoC frente a dependencias institucionales</w:t>
      </w:r>
    </w:p>
    <w:p>
      <w:pPr>
        <w:pStyle w:val="Heading1"/>
        <w:spacing w:lineRule="exact" w:line="240" w:before="240" w:after="120"/>
        <w:rPr/>
      </w:pPr>
      <w:bookmarkStart w:id="2" w:name="__RefHeading___Toc777_1801721159"/>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Diagrama del modelo de datos</w:t>
      </w:r>
    </w:p>
    <w:p>
      <w:pPr>
        <w:pStyle w:val="Normal"/>
        <w:keepNext w:val="false"/>
        <w:spacing w:lineRule="exact" w:line="240" w:before="0" w:after="35"/>
        <w:jc w:val="left"/>
        <w:rPr/>
      </w:pPr>
      <w:r>
        <w:rPr>
          <w:rFonts w:eastAsia="Arial" w:cs="Arial"/>
          <w:color w:val="000000"/>
          <w:sz w:val="22"/>
          <w:szCs w:val="22"/>
        </w:rPr>
        <w:t>2. Resumen SHAP de favoritismo</w:t>
      </w:r>
    </w:p>
    <w:p>
      <w:pPr>
        <w:pStyle w:val="Normal"/>
        <w:keepNext w:val="false"/>
        <w:spacing w:lineRule="exact" w:line="240" w:before="0" w:after="35"/>
        <w:jc w:val="left"/>
        <w:rPr/>
      </w:pPr>
      <w:r>
        <w:rPr>
          <w:rFonts w:eastAsia="Arial" w:cs="Arial"/>
          <w:color w:val="000000"/>
          <w:sz w:val="22"/>
          <w:szCs w:val="22"/>
        </w:rPr>
        <w:t>3. Detección de señales de fraccionamiento</w:t>
      </w:r>
    </w:p>
    <w:p>
      <w:pPr>
        <w:pStyle w:val="Normal"/>
        <w:keepNext w:val="false"/>
        <w:spacing w:lineRule="exact" w:line="240" w:before="0" w:after="35"/>
        <w:jc w:val="left"/>
        <w:rPr/>
      </w:pPr>
      <w:r>
        <w:rPr>
          <w:rFonts w:eastAsia="Arial" w:cs="Arial"/>
          <w:color w:val="000000"/>
          <w:sz w:val="22"/>
          <w:szCs w:val="22"/>
        </w:rPr>
        <w:t>4. Red proveedor-funcionario sintética</w:t>
      </w:r>
    </w:p>
    <w:p>
      <w:pPr>
        <w:pStyle w:val="Heading1"/>
        <w:spacing w:lineRule="exact" w:line="240" w:before="240" w:after="120"/>
        <w:rPr/>
      </w:pPr>
      <w:bookmarkStart w:id="3" w:name="__RefHeading___Toc779_1801721159"/>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781_1801721159"/>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783_1801721159"/>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Informe Final consolida únicamente evidencia que puede reproducirse desde el repositorio público. Mantiene separados dos ejercicios: un benchmark sintético con ground truth sembrado, destinado a validar el pipeline de extremo a extremo; y una validación con datos públicos OCDS/OECE, destinada a comprobar integridad relacional y escalabilidad del procesamiento sin asumir ground truth de irregularidad.</w:t>
      </w:r>
    </w:p>
    <w:p>
      <w:pPr>
        <w:pStyle w:val="Normal"/>
        <w:keepNext w:val="false"/>
        <w:spacing w:lineRule="exact" w:line="240" w:before="0" w:after="80"/>
        <w:jc w:val="both"/>
        <w:rPr/>
      </w:pPr>
      <w:r>
        <w:rPr>
          <w:rFonts w:eastAsia="Arial" w:cs="Arial"/>
          <w:color w:val="000000"/>
          <w:sz w:val="22"/>
          <w:szCs w:val="22"/>
        </w:rPr>
        <w:t>La documentación no atribuye al PoC capacidades que dependan de infraestructura o aprobación institucional. Datamart, fuentes internas, HDFS/YARN distribuido, ambientes DEV/QA/PROD, SQL Server/SSRS institucional, certificación funcional, marcha blanca y transferencia efectiva permanecen identificados como dependencias CGR.</w:t>
      </w:r>
    </w:p>
    <w:p>
      <w:pPr>
        <w:pStyle w:val="Heading1"/>
        <w:spacing w:lineRule="exact" w:line="240" w:before="240" w:after="120"/>
        <w:rPr/>
      </w:pPr>
      <w:bookmarkStart w:id="6" w:name="__RefHeading___Toc785_1801721159"/>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El TDR establece como objetivo disponer datos procesados y filtrados de fuentes externas e internas y desarrollar modelos de Machine Learning para identificar casos atípicos y patrones de riesgo relevantes para la labor del auditor. Este informe documenta el grado en que dicho objetivo puede demostrarse mediante un prototipo independiente y reproducible.</w:t>
      </w:r>
    </w:p>
    <w:p>
      <w:pPr>
        <w:pStyle w:val="Heading1"/>
        <w:spacing w:lineRule="exact" w:line="240" w:before="240" w:after="120"/>
        <w:rPr/>
      </w:pPr>
      <w:bookmarkStart w:id="7" w:name="__RefHeading___Toc787_1801721159"/>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789_1801721159"/>
      <w:bookmarkEnd w:id="8"/>
      <w:r>
        <w:rPr>
          <w:rFonts w:eastAsia="Arial" w:cs="Arial" w:ascii="Arial" w:hAnsi="Arial"/>
          <w:b/>
          <w:bCs/>
          <w:color w:val="000000"/>
          <w:sz w:val="22"/>
          <w:szCs w:val="22"/>
        </w:rPr>
        <w:t>3.1 Arquitectura, datos y trazabilidad</w:t>
      </w:r>
    </w:p>
    <w:p>
      <w:pPr>
        <w:pStyle w:val="Normal"/>
        <w:keepNext w:val="false"/>
        <w:spacing w:lineRule="exact" w:line="240" w:before="0" w:after="80"/>
        <w:jc w:val="both"/>
        <w:rPr/>
      </w:pPr>
      <w:r>
        <w:rPr>
          <w:rFonts w:eastAsia="Arial" w:cs="Arial"/>
          <w:color w:val="000000"/>
          <w:sz w:val="22"/>
          <w:szCs w:val="22"/>
        </w:rPr>
        <w:t>El flujo implementado es fuentes -&gt; Bronce -&gt; limpieza/feature engineering -&gt; Plata -&gt; modelos sklearn/Spark/GraphFrames -&gt; Oro -&gt; diccionario/linaje -&gt; run_manifest.json -&gt; evidencia_documental.json -&gt; documentación formal.</w:t>
      </w:r>
    </w:p>
    <w:p>
      <w:pPr>
        <w:pStyle w:val="Normal"/>
        <w:keepNext w:val="true"/>
        <w:spacing w:lineRule="exact" w:line="240" w:before="0" w:after="45"/>
        <w:jc w:val="center"/>
        <w:rPr/>
      </w:pPr>
      <w:r>
        <w:rPr>
          <w:rFonts w:eastAsia="Arial" w:cs="Arial"/>
          <w:b/>
          <w:bCs/>
          <w:color w:val="000000"/>
          <w:sz w:val="22"/>
          <w:szCs w:val="22"/>
        </w:rPr>
        <w:t>Tabla 1. Estado de componentes del prototipo</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 verificable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Bronce/Plata/Oro</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Simulación local funcional; modelos consumen Plata y Oro contiene salidas downstream.</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DAG principal con ramas sklearn, Spark MLlib y GraphFrames; runtime del proyecto separado.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GitHub Actions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pytest + smoke end-to-end + generación/validación documental.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Spark MLlib</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local[*] con Java 17 y PySpark versionado.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Ejecución real sobre datos de contacto sintéticos publicados en Plata.</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Linaje</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outputs/linaje_datos.csv: fuente -&gt; transformación -&gt; Plata -&gt; feature -&gt; implementación -&gt; Oro.</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MLOps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run_manifest.json con commit, versiones, hashes, parámetros y artefactos; promoción humana de candidatos.</w:t>
            </w:r>
          </w:p>
        </w:tc>
      </w:tr>
    </w:tbl>
    <w:p>
      <w:pPr>
        <w:pStyle w:val="Normal"/>
        <w:keepNext w:val="true"/>
        <w:spacing w:lineRule="exact" w:line="240" w:before="0" w:after="35"/>
        <w:jc w:val="center"/>
        <w:rPr/>
      </w:pPr>
      <w:r>
        <w:rPr>
          <w:rFonts w:eastAsia="Arial" w:cs="Arial"/>
          <w:b/>
          <w:bCs/>
          <w:color w:val="000000"/>
          <w:sz w:val="22"/>
          <w:szCs w:val="22"/>
        </w:rPr>
        <w:t>Gráfico 1. Diagrama del modelo de datos</w:t>
      </w:r>
    </w:p>
    <w:p>
      <w:pPr>
        <w:pStyle w:val="Normal"/>
        <w:keepNext w:val="true"/>
        <w:spacing w:before="0" w:after="40"/>
        <w:jc w:val="center"/>
        <w:rPr/>
      </w:pPr>
      <w:r>
        <w:rPr/>
        <w:drawing>
          <wp:inline distT="0" distB="0" distL="0" distR="0">
            <wp:extent cx="5810250" cy="342900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791_1801721159"/>
      <w:bookmarkEnd w:id="9"/>
      <w:r>
        <w:rPr>
          <w:rFonts w:eastAsia="Arial" w:cs="Arial" w:ascii="Arial" w:hAnsi="Arial"/>
          <w:b/>
          <w:bCs/>
          <w:color w:val="000000"/>
          <w:sz w:val="22"/>
          <w:szCs w:val="22"/>
        </w:rPr>
        <w:t>3.2 Preparación y benchmark sintético</w:t>
      </w:r>
    </w:p>
    <w:p>
      <w:pPr>
        <w:pStyle w:val="Normal"/>
        <w:keepNext w:val="true"/>
        <w:spacing w:lineRule="exact" w:line="240" w:before="0" w:after="45"/>
        <w:jc w:val="center"/>
        <w:rPr/>
      </w:pPr>
      <w:r>
        <w:rPr>
          <w:rFonts w:eastAsia="Arial" w:cs="Arial"/>
          <w:b/>
          <w:bCs/>
          <w:color w:val="000000"/>
          <w:sz w:val="22"/>
          <w:szCs w:val="22"/>
        </w:rPr>
        <w:t>Tabla 2. Resumen del benchmark sintético</w:t>
      </w:r>
    </w:p>
    <w:tbl>
      <w:tblPr>
        <w:tblW w:w="8800" w:type="dxa"/>
        <w:jc w:val="left"/>
        <w:tblInd w:w="0" w:type="dxa"/>
        <w:tblLayout w:type="fixed"/>
        <w:tblCellMar>
          <w:top w:w="55" w:type="dxa"/>
          <w:left w:w="80" w:type="dxa"/>
          <w:bottom w:w="55" w:type="dxa"/>
          <w:right w:w="80" w:type="dxa"/>
        </w:tblCellMar>
      </w:tblPr>
      <w:tblGrid>
        <w:gridCol w:w="4800"/>
        <w:gridCol w:w="3999"/>
      </w:tblGrid>
      <w:tr>
        <w:trPr>
          <w:tblHeader w:val="true"/>
          <w:cantSplit w:val="true"/>
        </w:trPr>
        <w:tc>
          <w:tcPr>
            <w:tcW w:w="4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sintéticos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3,709</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Valores nulos totales</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241</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Filas con algún nulo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237</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Percentil 99 del monto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736,486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Pares proveedor-entidad</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2,328</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favoritismo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proveedor-entidad-objeto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180</w:t>
            </w:r>
          </w:p>
        </w:tc>
      </w:tr>
      <w:tr>
        <w:trPr>
          <w:cantSplit w:val="true"/>
        </w:trPr>
        <w:tc>
          <w:tcPr>
            <w:tcW w:w="4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sintéticos de fraccionamiento</w:t>
            </w:r>
          </w:p>
        </w:tc>
        <w:tc>
          <w:tcPr>
            <w:tcW w:w="3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bl>
    <w:p>
      <w:pPr>
        <w:pStyle w:val="Normal"/>
        <w:keepNext w:val="false"/>
        <w:spacing w:lineRule="exact" w:line="240" w:before="0" w:after="80"/>
        <w:jc w:val="both"/>
        <w:rPr/>
      </w:pPr>
      <w:r>
        <w:rPr>
          <w:rFonts w:eastAsia="Arial" w:cs="Arial"/>
          <w:color w:val="000000"/>
          <w:sz w:val="22"/>
          <w:szCs w:val="22"/>
        </w:rPr>
        <w:t>El generador incorpora hard negatives y una categoría contractual estructurada goods/services/works para reducir separación trivial y ambigüedad normativa.</w:t>
      </w:r>
    </w:p>
    <w:p>
      <w:pPr>
        <w:pStyle w:val="Heading2"/>
        <w:spacing w:lineRule="exact" w:line="240" w:before="180" w:after="80"/>
        <w:rPr/>
      </w:pPr>
      <w:bookmarkStart w:id="10" w:name="__RefHeading___Toc793_1801721159"/>
      <w:bookmarkEnd w:id="10"/>
      <w:r>
        <w:rPr>
          <w:rFonts w:eastAsia="Arial" w:cs="Arial" w:ascii="Arial" w:hAnsi="Arial"/>
          <w:b/>
          <w:bCs/>
          <w:color w:val="000000"/>
          <w:sz w:val="22"/>
          <w:szCs w:val="22"/>
        </w:rPr>
        <w:t>3.3 Modelo de priorización de posible favoritismo</w:t>
      </w:r>
    </w:p>
    <w:p>
      <w:pPr>
        <w:pStyle w:val="Normal"/>
        <w:keepNext w:val="false"/>
        <w:spacing w:lineRule="exact" w:line="240" w:before="0" w:after="80"/>
        <w:jc w:val="both"/>
        <w:rPr/>
      </w:pPr>
      <w:r>
        <w:rPr>
          <w:rFonts w:eastAsia="Arial" w:cs="Arial"/>
          <w:color w:val="000000"/>
          <w:sz w:val="22"/>
          <w:szCs w:val="22"/>
        </w:rPr>
        <w:t>Se compararon 3 algoritmos con predicciones out-of-fold, StratifiedKFold 3-fold, mismas particiones para todos. La métrica primaria es AUC-PR por desbalance severo.</w:t>
      </w:r>
    </w:p>
    <w:p>
      <w:pPr>
        <w:pStyle w:val="Normal"/>
        <w:keepNext w:val="true"/>
        <w:spacing w:lineRule="exact" w:line="240" w:before="0" w:after="45"/>
        <w:jc w:val="center"/>
        <w:rPr/>
      </w:pPr>
      <w:r>
        <w:rPr>
          <w:rFonts w:eastAsia="Arial" w:cs="Arial"/>
          <w:b/>
          <w:bCs/>
          <w:color w:val="000000"/>
          <w:sz w:val="22"/>
          <w:szCs w:val="22"/>
        </w:rPr>
        <w:t>Tabla 3. Comparación de modelos de favoritismo</w:t>
      </w:r>
    </w:p>
    <w:tbl>
      <w:tblPr>
        <w:tblW w:w="8700" w:type="dxa"/>
        <w:jc w:val="left"/>
        <w:tblInd w:w="0" w:type="dxa"/>
        <w:tblLayout w:type="fixed"/>
        <w:tblCellMar>
          <w:top w:w="55" w:type="dxa"/>
          <w:left w:w="80" w:type="dxa"/>
          <w:bottom w:w="55" w:type="dxa"/>
          <w:right w:w="80" w:type="dxa"/>
        </w:tblCellMar>
      </w:tblPr>
      <w:tblGrid>
        <w:gridCol w:w="2200"/>
        <w:gridCol w:w="1300"/>
        <w:gridCol w:w="1299"/>
        <w:gridCol w:w="1300"/>
        <w:gridCol w:w="1301"/>
        <w:gridCol w:w="1299"/>
      </w:tblGrid>
      <w:tr>
        <w:trPr>
          <w:tblHeader w:val="true"/>
          <w:cantSplit w:val="true"/>
        </w:trPr>
        <w:tc>
          <w:tcPr>
            <w:tcW w:w="22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Modelo</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AUC-PR</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AUC-ROC</w:t>
            </w:r>
          </w:p>
        </w:tc>
        <w:tc>
          <w:tcPr>
            <w:tcW w:w="1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Precision</w:t>
            </w:r>
          </w:p>
        </w:tc>
        <w:tc>
          <w:tcPr>
            <w:tcW w:w="1301"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Recall</w:t>
            </w:r>
          </w:p>
        </w:tc>
        <w:tc>
          <w:tcPr>
            <w:tcW w:w="1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F1</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Random Forest</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0.671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Regresión Logística</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0.621</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0.995</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33.3%</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66.7%</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0.444</w:t>
            </w:r>
          </w:p>
        </w:tc>
      </w:tr>
      <w:tr>
        <w:trPr>
          <w:cantSplit w:val="true"/>
        </w:trPr>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Gradient Boosting</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0.418</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0.749</w:t>
            </w:r>
          </w:p>
        </w:tc>
        <w:tc>
          <w:tcPr>
            <w:tcW w:w="1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42.9%</w:t>
            </w:r>
          </w:p>
        </w:tc>
        <w:tc>
          <w:tcPr>
            <w:tcW w:w="13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50.0%</w:t>
            </w:r>
          </w:p>
        </w:tc>
        <w:tc>
          <w:tcPr>
            <w:tcW w:w="1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0.462</w:t>
            </w:r>
          </w:p>
        </w:tc>
      </w:tr>
    </w:tbl>
    <w:p>
      <w:pPr>
        <w:pStyle w:val="Normal"/>
        <w:keepNext w:val="false"/>
        <w:spacing w:lineRule="exact" w:line="240" w:before="0" w:after="80"/>
        <w:jc w:val="both"/>
        <w:rPr/>
      </w:pPr>
      <w:r>
        <w:rPr>
          <w:rFonts w:eastAsia="Arial" w:cs="Arial"/>
          <w:color w:val="000000"/>
          <w:sz w:val="22"/>
          <w:szCs w:val="22"/>
        </w:rPr>
        <w:t>Random Forest conserva el mayor AUC-PR. El tuning selecciona n_estimators=100, max_depth=3 y min_samples_leaf=1, con AUC-PR CV 0.844.</w:t>
      </w:r>
    </w:p>
    <w:p>
      <w:pPr>
        <w:pStyle w:val="Normal"/>
        <w:keepNext w:val="false"/>
        <w:spacing w:lineRule="exact" w:line="240" w:before="0" w:after="80"/>
        <w:jc w:val="both"/>
        <w:rPr/>
      </w:pPr>
      <w:r>
        <w:rPr>
          <w:rFonts w:eastAsia="Arial" w:cs="Arial"/>
          <w:color w:val="000000"/>
          <w:sz w:val="22"/>
          <w:szCs w:val="22"/>
        </w:rPr>
        <w:t>Contratación Directa y Comparación de Precios permanecen como features separadas. SHAP aporta explicación global e individual sin convertir el score en una determinación de responsabilidad.</w:t>
      </w:r>
    </w:p>
    <w:p>
      <w:pPr>
        <w:pStyle w:val="Normal"/>
        <w:keepNext w:val="true"/>
        <w:spacing w:lineRule="exact" w:line="240" w:before="0" w:after="35"/>
        <w:jc w:val="center"/>
        <w:rPr/>
      </w:pPr>
      <w:r>
        <w:rPr>
          <w:rFonts w:eastAsia="Arial" w:cs="Arial"/>
          <w:b/>
          <w:bCs/>
          <w:color w:val="000000"/>
          <w:sz w:val="22"/>
          <w:szCs w:val="22"/>
        </w:rPr>
        <w:t>Gráfico 2. Resumen SHAP de favoritismo</w:t>
      </w:r>
    </w:p>
    <w:p>
      <w:pPr>
        <w:pStyle w:val="Normal"/>
        <w:keepNext w:val="true"/>
        <w:spacing w:before="0" w:after="40"/>
        <w:jc w:val="center"/>
        <w:rPr/>
      </w:pPr>
      <w:r>
        <w:rPr/>
        <w:drawing>
          <wp:inline distT="0" distB="0" distL="0" distR="0">
            <wp:extent cx="5810250" cy="342900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6"/>
                    <a:stretch>
                      <a:fillRect/>
                    </a:stretch>
                  </pic:blipFill>
                  <pic:spPr bwMode="auto">
                    <a:xfrm>
                      <a:off x="0" y="0"/>
                      <a:ext cx="5810250" cy="34290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1" w:name="__RefHeading___Toc795_1801721159"/>
      <w:bookmarkEnd w:id="11"/>
      <w:r>
        <w:rPr>
          <w:rFonts w:eastAsia="Arial" w:cs="Arial" w:ascii="Arial" w:hAnsi="Arial"/>
          <w:b/>
          <w:bCs/>
          <w:color w:val="000000"/>
          <w:sz w:val="22"/>
          <w:szCs w:val="22"/>
        </w:rPr>
        <w:t>3.4 Modelo de priorización de posible fraccionamiento</w:t>
      </w:r>
    </w:p>
    <w:p>
      <w:pPr>
        <w:pStyle w:val="Normal"/>
        <w:keepNext w:val="false"/>
        <w:spacing w:lineRule="exact" w:line="240" w:before="0" w:after="80"/>
        <w:jc w:val="both"/>
        <w:rPr/>
      </w:pPr>
      <w:r>
        <w:rPr>
          <w:rFonts w:eastAsia="Arial" w:cs="Arial"/>
          <w:color w:val="000000"/>
          <w:sz w:val="22"/>
          <w:szCs w:val="22"/>
        </w:rPr>
        <w:t>holdout final separado antes del tuning; validaciones repetidas solo en desarrollo. La selección se realiza por AUC-PR media en validaciones repetidas; el holdout final no participa en tuning.</w:t>
      </w:r>
    </w:p>
    <w:p>
      <w:pPr>
        <w:pStyle w:val="Normal"/>
        <w:keepNext w:val="true"/>
        <w:spacing w:lineRule="exact" w:line="240" w:before="0" w:after="45"/>
        <w:jc w:val="center"/>
        <w:rPr/>
      </w:pPr>
      <w:r>
        <w:rPr>
          <w:rFonts w:eastAsia="Arial" w:cs="Arial"/>
          <w:b/>
          <w:bCs/>
          <w:color w:val="000000"/>
          <w:sz w:val="22"/>
          <w:szCs w:val="22"/>
        </w:rPr>
        <w:t>Tabla 4. Métricas holdout de fraccionamiento</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Normal"/>
        <w:keepNext w:val="false"/>
        <w:spacing w:lineRule="exact" w:line="240" w:before="0" w:after="80"/>
        <w:jc w:val="both"/>
        <w:rPr/>
      </w:pPr>
      <w:r>
        <w:rPr>
          <w:rFonts w:eastAsia="Arial" w:cs="Arial"/>
          <w:color w:val="000000"/>
          <w:sz w:val="22"/>
          <w:szCs w:val="22"/>
        </w:rPr>
        <w:t>La diferencia entre AUC-ROC y AUC-PR confirma que el detector separa parcialmente extremos, pero su desempeño sobre la clase positiva es débil. La regla interpretable de ventana temporal y cuantía se conserva únicamente como señal complementaria de caja blanca.</w:t>
      </w:r>
    </w:p>
    <w:p>
      <w:pPr>
        <w:pStyle w:val="Normal"/>
        <w:keepNext w:val="true"/>
        <w:spacing w:lineRule="exact" w:line="240" w:before="0" w:after="35"/>
        <w:jc w:val="center"/>
        <w:rPr/>
      </w:pPr>
      <w:r>
        <w:rPr>
          <w:rFonts w:eastAsia="Arial" w:cs="Arial"/>
          <w:b/>
          <w:bCs/>
          <w:color w:val="000000"/>
          <w:sz w:val="22"/>
          <w:szCs w:val="22"/>
        </w:rPr>
        <w:t>Gráfico 3. Detección de señales de posible fraccionamiento</w:t>
      </w:r>
    </w:p>
    <w:p>
      <w:pPr>
        <w:pStyle w:val="Normal"/>
        <w:keepNext w:val="true"/>
        <w:spacing w:before="0" w:after="40"/>
        <w:jc w:val="center"/>
        <w:rPr/>
      </w:pPr>
      <w:r>
        <w:rPr/>
        <w:drawing>
          <wp:inline distT="0" distB="0" distL="0" distR="0">
            <wp:extent cx="5810250" cy="333375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7"/>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2" w:name="__RefHeading___Toc797_1801721159"/>
      <w:bookmarkEnd w:id="12"/>
      <w:r>
        <w:rPr>
          <w:rFonts w:eastAsia="Arial" w:cs="Arial" w:ascii="Arial" w:hAnsi="Arial"/>
          <w:b/>
          <w:bCs/>
          <w:color w:val="000000"/>
          <w:sz w:val="22"/>
          <w:szCs w:val="22"/>
        </w:rPr>
        <w:t>3.5 Implementación Spark MLlib y GraphFrames</w:t>
      </w:r>
    </w:p>
    <w:p>
      <w:pPr>
        <w:pStyle w:val="Normal"/>
        <w:keepNext w:val="true"/>
        <w:spacing w:lineRule="exact" w:line="240" w:before="0" w:after="45"/>
        <w:jc w:val="center"/>
        <w:rPr/>
      </w:pPr>
      <w:r>
        <w:rPr>
          <w:rFonts w:eastAsia="Arial" w:cs="Arial"/>
          <w:b/>
          <w:bCs/>
          <w:color w:val="000000"/>
          <w:sz w:val="22"/>
          <w:szCs w:val="22"/>
        </w:rPr>
        <w:t>Tabla 5. Evidencia Spark y GraphFrames</w:t>
      </w:r>
    </w:p>
    <w:tbl>
      <w:tblPr>
        <w:tblW w:w="8800" w:type="dxa"/>
        <w:jc w:val="left"/>
        <w:tblInd w:w="0" w:type="dxa"/>
        <w:tblLayout w:type="fixed"/>
        <w:tblCellMar>
          <w:top w:w="55" w:type="dxa"/>
          <w:left w:w="80" w:type="dxa"/>
          <w:bottom w:w="55" w:type="dxa"/>
          <w:right w:w="80" w:type="dxa"/>
        </w:tblCellMar>
      </w:tblPr>
      <w:tblGrid>
        <w:gridCol w:w="2800"/>
        <w:gridCol w:w="5999"/>
      </w:tblGrid>
      <w:tr>
        <w:trPr>
          <w:tblHeader w:val="true"/>
          <w:cantSplit w:val="true"/>
        </w:trPr>
        <w:tc>
          <w:tcPr>
            <w:tcW w:w="28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Componente</w:t>
            </w:r>
          </w:p>
        </w:tc>
        <w:tc>
          <w:tcPr>
            <w:tcW w:w="59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 reproducible</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RandomForestClassifier; 3-fold estratificado con orden xxhash64 determinístico; modo local[*]; AUC-PR CV del sanity check 1.000.</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Spark</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 k=2; modo local[*].</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GraphFrames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280 vértices, 2995 aristas y 5 señales sintéticas.</w:t>
            </w:r>
          </w:p>
        </w:tc>
      </w:tr>
      <w:tr>
        <w:trPr>
          <w:cantSplit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Versiones</w:t>
            </w:r>
          </w:p>
        </w:tc>
        <w:tc>
          <w:tcPr>
            <w:tcW w:w="59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PySpark 4.1.1; GraphFrames 0.10.0; Java 17 en CI.</w:t>
            </w:r>
          </w:p>
        </w:tc>
      </w:tr>
    </w:tbl>
    <w:p>
      <w:pPr>
        <w:pStyle w:val="Normal"/>
        <w:keepNext w:val="false"/>
        <w:spacing w:lineRule="exact" w:line="240" w:before="0" w:after="80"/>
        <w:jc w:val="both"/>
        <w:rPr/>
      </w:pPr>
      <w:r>
        <w:rPr>
          <w:rFonts w:eastAsia="Arial" w:cs="Arial"/>
          <w:color w:val="000000"/>
          <w:sz w:val="22"/>
          <w:szCs w:val="22"/>
        </w:rPr>
        <w:t>La métrica Spark de favoritismo no se utiliza como estimación productiva porque el benchmark solo tiene seis positivos. La función de esta evidencia es demostrar que la arquitectura exigida por el TDR se ejecuta realmente con Spark MLlib en el PoC.</w:t>
      </w:r>
    </w:p>
    <w:p>
      <w:pPr>
        <w:pStyle w:val="Normal"/>
        <w:keepNext w:val="true"/>
        <w:spacing w:lineRule="exact" w:line="240" w:before="0" w:after="35"/>
        <w:jc w:val="center"/>
        <w:rPr/>
      </w:pPr>
      <w:r>
        <w:rPr>
          <w:rFonts w:eastAsia="Arial" w:cs="Arial"/>
          <w:b/>
          <w:bCs/>
          <w:color w:val="000000"/>
          <w:sz w:val="22"/>
          <w:szCs w:val="22"/>
        </w:rPr>
        <w:t>Gráfico 4. Red proveedor-funcionario sintética</w:t>
      </w:r>
    </w:p>
    <w:p>
      <w:pPr>
        <w:pStyle w:val="Normal"/>
        <w:keepNext w:val="true"/>
        <w:spacing w:before="0" w:after="40"/>
        <w:jc w:val="center"/>
        <w:rPr/>
      </w:pPr>
      <w:r>
        <w:rPr/>
        <w:drawing>
          <wp:inline distT="0" distB="0" distL="0" distR="0">
            <wp:extent cx="5810250" cy="40005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8"/>
                    <a:stretch>
                      <a:fillRect/>
                    </a:stretch>
                  </pic:blipFill>
                  <pic:spPr bwMode="auto">
                    <a:xfrm>
                      <a:off x="0" y="0"/>
                      <a:ext cx="5810250" cy="400050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13" w:name="__RefHeading___Toc799_1801721159"/>
      <w:bookmarkEnd w:id="13"/>
      <w:r>
        <w:rPr>
          <w:rFonts w:eastAsia="Arial" w:cs="Arial" w:ascii="Arial" w:hAnsi="Arial"/>
          <w:b/>
          <w:bCs/>
          <w:color w:val="000000"/>
          <w:sz w:val="22"/>
          <w:szCs w:val="22"/>
        </w:rPr>
        <w:t>3.6 Validación de integridad con datos públicos OCDS/OECE</w:t>
      </w:r>
    </w:p>
    <w:p>
      <w:pPr>
        <w:pStyle w:val="Normal"/>
        <w:keepNext w:val="false"/>
        <w:spacing w:lineRule="exact" w:line="240" w:before="0" w:after="80"/>
        <w:jc w:val="both"/>
        <w:rPr/>
      </w:pPr>
      <w:r>
        <w:rPr>
          <w:rFonts w:eastAsia="Arial" w:cs="Arial"/>
          <w:color w:val="000000"/>
          <w:sz w:val="22"/>
          <w:szCs w:val="22"/>
        </w:rPr>
        <w:t>La relación analítica se reconstruyó como Contract(main_ocid, awardID) -&gt; Award(main_ocid, id) -&gt; awards_suppliers(main_ocid, awards_id). El supplier se resuelve mediante el award relacionado con cada contrato y la clave analítica es OCID::contract.id.</w:t>
      </w:r>
    </w:p>
    <w:p>
      <w:pPr>
        <w:pStyle w:val="Normal"/>
        <w:keepNext w:val="true"/>
        <w:spacing w:lineRule="exact" w:line="240" w:before="0" w:after="45"/>
        <w:jc w:val="center"/>
        <w:rPr/>
      </w:pPr>
      <w:r>
        <w:rPr>
          <w:rFonts w:eastAsia="Arial" w:cs="Arial"/>
          <w:b/>
          <w:bCs/>
          <w:color w:val="000000"/>
          <w:sz w:val="22"/>
          <w:szCs w:val="22"/>
        </w:rPr>
        <w:t>Tabla 6. Validación de integridad OCDS/OECE</w:t>
      </w:r>
    </w:p>
    <w:tbl>
      <w:tblPr>
        <w:tblW w:w="8800" w:type="dxa"/>
        <w:jc w:val="left"/>
        <w:tblInd w:w="0" w:type="dxa"/>
        <w:tblLayout w:type="fixed"/>
        <w:tblCellMar>
          <w:top w:w="55" w:type="dxa"/>
          <w:left w:w="80" w:type="dxa"/>
          <w:bottom w:w="55" w:type="dxa"/>
          <w:right w:w="80" w:type="dxa"/>
        </w:tblCellMar>
      </w:tblPr>
      <w:tblGrid>
        <w:gridCol w:w="5199"/>
        <w:gridCol w:w="3600"/>
      </w:tblGrid>
      <w:tr>
        <w:trPr>
          <w:tblHeader w:val="true"/>
          <w:cantSplit w:val="true"/>
        </w:trPr>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crudos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47,510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Contratos analíticos válidos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47,254</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Excluidos sin award/supplier resoluble</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Adjudicatarios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25,861</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Consorcios distintos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7,486</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Entidades distintas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2,732</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Monto total procesado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 23,082,420,702.60</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Rango de fechas</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2018-09-18 a 2024-11-08</w:t>
            </w:r>
          </w:p>
        </w:tc>
      </w:tr>
      <w:tr>
        <w:trPr>
          <w:cantSplit w:val="true"/>
        </w:trPr>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Grupos priorizados por señal de fraccionamiento</w:t>
            </w:r>
          </w:p>
        </w:tc>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322</w:t>
            </w:r>
          </w:p>
        </w:tc>
      </w:tr>
    </w:tbl>
    <w:p>
      <w:pPr>
        <w:pStyle w:val="Normal"/>
        <w:keepNext w:val="false"/>
        <w:spacing w:lineRule="exact" w:line="240" w:before="0" w:after="80"/>
        <w:jc w:val="both"/>
        <w:rPr/>
      </w:pPr>
      <w:r>
        <w:rPr>
          <w:rFonts w:eastAsia="Arial" w:cs="Arial"/>
          <w:color w:val="000000"/>
          <w:sz w:val="22"/>
          <w:szCs w:val="22"/>
        </w:rPr>
        <w:t>El conteo antiguo de 47,442 fue descartado; el conteo corregido es 47,254. Los rankings reales identificables no se publican en el repositorio.</w:t>
      </w:r>
    </w:p>
    <w:p>
      <w:pPr>
        <w:pStyle w:val="Heading2"/>
        <w:spacing w:lineRule="exact" w:line="240" w:before="180" w:after="80"/>
        <w:rPr/>
      </w:pPr>
      <w:bookmarkStart w:id="14" w:name="__RefHeading___Toc801_1801721159"/>
      <w:bookmarkEnd w:id="14"/>
      <w:r>
        <w:rPr>
          <w:rFonts w:eastAsia="Arial" w:cs="Arial" w:ascii="Arial" w:hAnsi="Arial"/>
          <w:b/>
          <w:bCs/>
          <w:color w:val="000000"/>
          <w:sz w:val="22"/>
          <w:szCs w:val="22"/>
        </w:rPr>
        <w:t>3.7 Autoevaluación, mantenimiento y gobernanza</w:t>
      </w:r>
    </w:p>
    <w:p>
      <w:pPr>
        <w:pStyle w:val="ListParagraph"/>
        <w:numPr>
          <w:ilvl w:val="0"/>
          <w:numId w:val="3"/>
        </w:numPr>
        <w:spacing w:lineRule="exact" w:line="240" w:before="0" w:after="50"/>
        <w:rPr/>
      </w:pPr>
      <w:r>
        <w:rPr>
          <w:rFonts w:eastAsia="Arial" w:cs="Arial"/>
          <w:color w:val="000000"/>
          <w:sz w:val="22"/>
          <w:szCs w:val="22"/>
        </w:rPr>
        <w:t>Monitoreo de calidad y drift mediante controles de esquema y PSI.</w:t>
      </w:r>
    </w:p>
    <w:p>
      <w:pPr>
        <w:pStyle w:val="ListParagraph"/>
        <w:numPr>
          <w:ilvl w:val="0"/>
          <w:numId w:val="1"/>
        </w:numPr>
        <w:spacing w:lineRule="exact" w:line="240" w:before="0" w:after="50"/>
        <w:rPr/>
      </w:pPr>
      <w:r>
        <w:rPr>
          <w:rFonts w:eastAsia="Arial" w:cs="Arial"/>
          <w:color w:val="000000"/>
          <w:sz w:val="22"/>
          <w:szCs w:val="22"/>
        </w:rPr>
        <w:t>Evaluación de desempeño solo cuando exista ground truth nuevo y validado.</w:t>
      </w:r>
    </w:p>
    <w:p>
      <w:pPr>
        <w:pStyle w:val="ListParagraph"/>
        <w:numPr>
          <w:ilvl w:val="0"/>
          <w:numId w:val="1"/>
        </w:numPr>
        <w:spacing w:lineRule="exact" w:line="240" w:before="0" w:after="50"/>
        <w:rPr/>
      </w:pPr>
      <w:r>
        <w:rPr>
          <w:rFonts w:eastAsia="Arial" w:cs="Arial"/>
          <w:color w:val="000000"/>
          <w:sz w:val="22"/>
          <w:szCs w:val="22"/>
        </w:rPr>
        <w:t>Reentrenamiento genera un modelo candidato y lo evalúa en holdout independiente.</w:t>
      </w:r>
    </w:p>
    <w:p>
      <w:pPr>
        <w:pStyle w:val="ListParagraph"/>
        <w:numPr>
          <w:ilvl w:val="0"/>
          <w:numId w:val="1"/>
        </w:numPr>
        <w:spacing w:lineRule="exact" w:line="240" w:before="0" w:after="50"/>
        <w:rPr/>
      </w:pPr>
      <w:r>
        <w:rPr>
          <w:rFonts w:eastAsia="Arial" w:cs="Arial"/>
          <w:color w:val="000000"/>
          <w:sz w:val="22"/>
          <w:szCs w:val="22"/>
        </w:rPr>
        <w:t>Promoción automática deshabilitada; se requiere revisión y aprobación humana.</w:t>
      </w:r>
    </w:p>
    <w:p>
      <w:pPr>
        <w:pStyle w:val="ListParagraph"/>
        <w:numPr>
          <w:ilvl w:val="0"/>
          <w:numId w:val="1"/>
        </w:numPr>
        <w:spacing w:lineRule="exact" w:line="240" w:before="0" w:after="50"/>
        <w:rPr/>
      </w:pPr>
      <w:r>
        <w:rPr>
          <w:rFonts w:eastAsia="Arial" w:cs="Arial"/>
          <w:color w:val="000000"/>
          <w:sz w:val="22"/>
          <w:szCs w:val="22"/>
        </w:rPr>
        <w:t>Normativa parametrizada por fecha/categoría con pruebas de regresión.</w:t>
      </w:r>
    </w:p>
    <w:p>
      <w:pPr>
        <w:pStyle w:val="Heading2"/>
        <w:spacing w:lineRule="exact" w:line="240" w:before="180" w:after="80"/>
        <w:rPr/>
      </w:pPr>
      <w:bookmarkStart w:id="15" w:name="__RefHeading___Toc803_1801721159"/>
      <w:bookmarkEnd w:id="15"/>
      <w:r>
        <w:rPr>
          <w:rFonts w:eastAsia="Arial" w:cs="Arial" w:ascii="Arial" w:hAnsi="Arial"/>
          <w:b/>
          <w:bCs/>
          <w:color w:val="000000"/>
          <w:sz w:val="22"/>
          <w:szCs w:val="22"/>
        </w:rPr>
        <w:t>3.8 Reporting, documentación y reproducibilidad</w:t>
      </w:r>
    </w:p>
    <w:p>
      <w:pPr>
        <w:pStyle w:val="ListParagraph"/>
        <w:numPr>
          <w:ilvl w:val="0"/>
          <w:numId w:val="1"/>
        </w:numPr>
        <w:spacing w:lineRule="exact" w:line="240" w:before="0" w:after="50"/>
        <w:rPr/>
      </w:pPr>
      <w:r>
        <w:rPr>
          <w:rFonts w:eastAsia="Arial" w:cs="Arial"/>
          <w:color w:val="000000"/>
          <w:sz w:val="22"/>
          <w:szCs w:val="22"/>
        </w:rPr>
        <w:t>Esquema T-SQL y RDL de SSRS disponibles como artefactos de despliegue; servidor institucional no ejecutado.</w:t>
      </w:r>
    </w:p>
    <w:p>
      <w:pPr>
        <w:pStyle w:val="ListParagraph"/>
        <w:numPr>
          <w:ilvl w:val="0"/>
          <w:numId w:val="1"/>
        </w:numPr>
        <w:spacing w:lineRule="exact" w:line="240" w:before="0" w:after="50"/>
        <w:rPr/>
      </w:pPr>
      <w:r>
        <w:rPr>
          <w:rFonts w:eastAsia="Arial" w:cs="Arial"/>
          <w:color w:val="000000"/>
          <w:sz w:val="22"/>
          <w:szCs w:val="22"/>
        </w:rPr>
        <w:t>Diccionario y diagrama del modelo de datos regenerados automáticamente.</w:t>
      </w:r>
    </w:p>
    <w:p>
      <w:pPr>
        <w:pStyle w:val="ListParagraph"/>
        <w:numPr>
          <w:ilvl w:val="0"/>
          <w:numId w:val="1"/>
        </w:numPr>
        <w:spacing w:lineRule="exact" w:line="240" w:before="0" w:after="50"/>
        <w:rPr/>
      </w:pPr>
      <w:r>
        <w:rPr>
          <w:rFonts w:eastAsia="Arial" w:cs="Arial"/>
          <w:color w:val="000000"/>
          <w:sz w:val="22"/>
          <w:szCs w:val="22"/>
        </w:rPr>
        <w:t>run_manifest.json registra commit, versiones, hashes, parámetros, métricas y artefactos.</w:t>
      </w:r>
    </w:p>
    <w:p>
      <w:pPr>
        <w:pStyle w:val="ListParagraph"/>
        <w:numPr>
          <w:ilvl w:val="0"/>
          <w:numId w:val="1"/>
        </w:numPr>
        <w:spacing w:lineRule="exact" w:line="240" w:before="0" w:after="50"/>
        <w:rPr/>
      </w:pPr>
      <w:r>
        <w:rPr>
          <w:rFonts w:eastAsia="Arial" w:cs="Arial"/>
          <w:color w:val="000000"/>
          <w:sz w:val="22"/>
          <w:szCs w:val="22"/>
        </w:rPr>
        <w:t>outputs/linaje_datos.csv proporciona linaje explícito de fuente a salida Oro.</w:t>
      </w:r>
    </w:p>
    <w:p>
      <w:pPr>
        <w:pStyle w:val="ListParagraph"/>
        <w:numPr>
          <w:ilvl w:val="0"/>
          <w:numId w:val="1"/>
        </w:numPr>
        <w:spacing w:lineRule="exact" w:line="240" w:before="0" w:after="50"/>
        <w:rPr/>
      </w:pPr>
      <w:r>
        <w:rPr>
          <w:rFonts w:eastAsia="Arial" w:cs="Arial"/>
          <w:color w:val="000000"/>
          <w:sz w:val="22"/>
          <w:szCs w:val="22"/>
        </w:rPr>
        <w:t>Los Productos 1-7 y este Informe Final se generan desde evidencia_documental.json.</w:t>
      </w:r>
    </w:p>
    <w:p>
      <w:pPr>
        <w:pStyle w:val="Heading2"/>
        <w:spacing w:lineRule="exact" w:line="240" w:before="180" w:after="80"/>
        <w:rPr/>
      </w:pPr>
      <w:bookmarkStart w:id="16" w:name="__RefHeading___Toc805_1801721159"/>
      <w:bookmarkEnd w:id="16"/>
      <w:r>
        <w:rPr>
          <w:rFonts w:eastAsia="Arial" w:cs="Arial" w:ascii="Arial" w:hAnsi="Arial"/>
          <w:b/>
          <w:bCs/>
          <w:color w:val="000000"/>
          <w:sz w:val="22"/>
          <w:szCs w:val="22"/>
        </w:rPr>
        <w:t>3.9 Matriz de cierre frente al TDR</w:t>
      </w:r>
    </w:p>
    <w:p>
      <w:pPr>
        <w:pStyle w:val="Normal"/>
        <w:keepNext w:val="true"/>
        <w:spacing w:lineRule="exact" w:line="240" w:before="0" w:after="45"/>
        <w:jc w:val="center"/>
        <w:rPr/>
      </w:pPr>
      <w:r>
        <w:rPr>
          <w:rFonts w:eastAsia="Arial" w:cs="Arial"/>
          <w:b/>
          <w:bCs/>
          <w:color w:val="000000"/>
          <w:sz w:val="22"/>
          <w:szCs w:val="22"/>
        </w:rPr>
        <w:t>Tabla 7. Matriz de cierre: PoC frente a dependencias institucionales</w:t>
      </w:r>
    </w:p>
    <w:tbl>
      <w:tblPr>
        <w:tblW w:w="8800" w:type="dxa"/>
        <w:jc w:val="left"/>
        <w:tblInd w:w="0" w:type="dxa"/>
        <w:tblLayout w:type="fixed"/>
        <w:tblCellMar>
          <w:top w:w="55" w:type="dxa"/>
          <w:left w:w="80" w:type="dxa"/>
          <w:bottom w:w="55" w:type="dxa"/>
          <w:right w:w="80" w:type="dxa"/>
        </w:tblCellMar>
      </w:tblPr>
      <w:tblGrid>
        <w:gridCol w:w="3600"/>
        <w:gridCol w:w="5199"/>
      </w:tblGrid>
      <w:tr>
        <w:trPr>
          <w:tblHeader w:val="true"/>
          <w:cantSplit w:val="true"/>
        </w:trPr>
        <w:tc>
          <w:tcPr>
            <w:tcW w:w="36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Área</w:t>
            </w:r>
          </w:p>
        </w:tc>
        <w:tc>
          <w:tcPr>
            <w:tcW w:w="51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Estado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 limpieza y feature engineering</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y reproducible.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Favoritismo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Benchmark OOF/tuning/SHAP + Spark MLlib ejecutado.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Fraccionamiento no supervisado</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Isolation Forest con holdout + KMeans Spark + señal interpretable.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Grafos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NetworkX + GraphFrames ejecutado con escenario sintético.</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Airflow/Lakehouse local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Implementado; HDFS/YARN/Datamart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Autoevaluación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Candidato + gate humano; gobierno productivo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T-SQL + RDL preparados; servidor SQL/SSRS CGR pendiente.</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DEV/QA/PROD y certificación</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Marcha blanca y transferencia efectiva</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Dependencia contractual/institucional CGR.</w:t>
            </w:r>
          </w:p>
        </w:tc>
      </w:tr>
      <w:tr>
        <w:trPr>
          <w:cantSplit w:val="true"/>
        </w:trPr>
        <w:tc>
          <w:tcPr>
            <w:tcW w:w="3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 real</w:t>
            </w:r>
          </w:p>
        </w:tc>
        <w:tc>
          <w:tcPr>
            <w:tcW w:w="51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Requiere etiquetado y validación por auditores.</w:t>
            </w:r>
          </w:p>
        </w:tc>
      </w:tr>
    </w:tbl>
    <w:p>
      <w:pPr>
        <w:pStyle w:val="Heading1"/>
        <w:spacing w:lineRule="exact" w:line="240" w:before="240" w:after="120"/>
        <w:rPr/>
      </w:pPr>
      <w:bookmarkStart w:id="17" w:name="__RefHeading___Toc807_1801721159"/>
      <w:bookmarkEnd w:id="17"/>
      <w:r>
        <w:rPr>
          <w:rFonts w:eastAsia="Arial" w:cs="Arial" w:ascii="Arial" w:hAnsi="Arial"/>
          <w:b/>
          <w:bCs/>
          <w:color w:val="000000"/>
          <w:sz w:val="22"/>
          <w:szCs w:val="22"/>
        </w:rPr>
        <w:t>4. Conclusiones y Recomendaciones</w:t>
      </w:r>
    </w:p>
    <w:p>
      <w:pPr>
        <w:pStyle w:val="Normal"/>
        <w:keepNext w:val="false"/>
        <w:spacing w:lineRule="exact" w:line="240" w:before="0" w:after="80"/>
        <w:jc w:val="both"/>
        <w:rPr/>
      </w:pPr>
      <w:r>
        <w:rPr>
          <w:rFonts w:eastAsia="Arial" w:cs="Arial"/>
          <w:color w:val="000000"/>
          <w:sz w:val="22"/>
          <w:szCs w:val="22"/>
        </w:rPr>
        <w:t>El prototipo demuestra viabilidad técnica y reproducibilidad sin ocultar sus límites. Random Forest es el candidato principal del benchmark de favoritismo por AUC-PR e interpretabilidad. En fraccionamiento, la baja AUC-PR del holdout impide presentar el detector como clasificador de irregularidades y refuerza la necesidad de revisión humana.</w:t>
      </w:r>
    </w:p>
    <w:p>
      <w:pPr>
        <w:pStyle w:val="Normal"/>
        <w:keepNext w:val="false"/>
        <w:spacing w:lineRule="exact" w:line="240" w:before="0" w:after="80"/>
        <w:jc w:val="both"/>
        <w:rPr/>
      </w:pPr>
      <w:r>
        <w:rPr>
          <w:rFonts w:eastAsia="Arial" w:cs="Arial"/>
          <w:color w:val="000000"/>
          <w:sz w:val="22"/>
          <w:szCs w:val="22"/>
        </w:rPr>
        <w:t>La arquitectura Spark ya está ejecutada y validada en CI local[*]; lo pendiente en esta área es rendimiento distribuido sobre infraestructura CGR. La reconstrucción OCDS Contract -&gt; Award -&gt; Supplier y la separación de modalidades corrigen las brechas de integridad más importantes detectadas en versiones previas.</w:t>
      </w:r>
    </w:p>
    <w:p>
      <w:pPr>
        <w:pStyle w:val="Normal"/>
        <w:keepNext w:val="false"/>
        <w:spacing w:lineRule="exact" w:line="240" w:before="0" w:after="80"/>
        <w:jc w:val="both"/>
        <w:rPr/>
      </w:pPr>
      <w:r>
        <w:rPr>
          <w:rFonts w:eastAsia="Arial" w:cs="Arial"/>
          <w:color w:val="000000"/>
          <w:sz w:val="22"/>
          <w:szCs w:val="22"/>
        </w:rPr>
        <w:t>Para una fase institucional se recomienda: obtener ground truth real etiquetado; validar reglas con auditores y especialistas normativos; desplegar primero en DEV/QA; medir AUC-PR/recall y tiempos con datos internos; calibrar capacidad de revisión; habilitar controles de acceso y linaje; y ejecutar certificación, marcha blanca y transferencia formal.</w:t>
      </w:r>
    </w:p>
    <w:p>
      <w:pPr>
        <w:pStyle w:val="Heading1"/>
        <w:spacing w:lineRule="exact" w:line="240" w:before="240" w:after="120"/>
        <w:rPr/>
      </w:pPr>
      <w:bookmarkStart w:id="18" w:name="__RefHeading___Toc809_1801721159"/>
      <w:bookmarkEnd w:id="18"/>
      <w:r>
        <w:rPr>
          <w:rFonts w:eastAsia="Arial" w:cs="Arial" w:ascii="Arial" w:hAnsi="Arial"/>
          <w:b/>
          <w:bCs/>
          <w:color w:val="000000"/>
          <w:sz w:val="22"/>
          <w:szCs w:val="22"/>
        </w:rPr>
        <w:t>5. Anexos</w:t>
      </w:r>
    </w:p>
    <w:p>
      <w:pPr>
        <w:pStyle w:val="ListParagraph"/>
        <w:numPr>
          <w:ilvl w:val="0"/>
          <w:numId w:val="1"/>
        </w:numPr>
        <w:spacing w:lineRule="exact" w:line="240" w:before="0" w:after="50"/>
        <w:rPr/>
      </w:pPr>
      <w:r>
        <w:rPr>
          <w:rFonts w:eastAsia="Arial" w:cs="Arial"/>
          <w:color w:val="000000"/>
          <w:sz w:val="22"/>
          <w:szCs w:val="22"/>
        </w:rPr>
        <w:t>Commit utilizado por la evidencia: 5690a20f3c35cf2956b5e8ea791cabe2bd11148b.</w:t>
      </w:r>
    </w:p>
    <w:p>
      <w:pPr>
        <w:pStyle w:val="ListParagraph"/>
        <w:numPr>
          <w:ilvl w:val="0"/>
          <w:numId w:val="1"/>
        </w:numPr>
        <w:spacing w:lineRule="exact" w:line="240" w:before="0" w:after="50"/>
        <w:rPr/>
      </w:pPr>
      <w:r>
        <w:rPr>
          <w:rFonts w:eastAsia="Arial" w:cs="Arial"/>
          <w:color w:val="000000"/>
          <w:sz w:val="22"/>
          <w:szCs w:val="22"/>
        </w:rPr>
        <w:t>outputs/evidencia_documental.json - fuente única de cifras documentales.</w:t>
      </w:r>
    </w:p>
    <w:p>
      <w:pPr>
        <w:pStyle w:val="ListParagraph"/>
        <w:numPr>
          <w:ilvl w:val="0"/>
          <w:numId w:val="1"/>
        </w:numPr>
        <w:spacing w:lineRule="exact" w:line="240" w:before="0" w:after="50"/>
        <w:rPr/>
      </w:pPr>
      <w:r>
        <w:rPr>
          <w:rFonts w:eastAsia="Arial" w:cs="Arial"/>
          <w:color w:val="000000"/>
          <w:sz w:val="22"/>
          <w:szCs w:val="22"/>
        </w:rPr>
        <w:t>outputs/run_manifest.json - entorno, hashes, parámetros y artefactos.</w:t>
      </w:r>
    </w:p>
    <w:p>
      <w:pPr>
        <w:pStyle w:val="ListParagraph"/>
        <w:numPr>
          <w:ilvl w:val="0"/>
          <w:numId w:val="1"/>
        </w:numPr>
        <w:spacing w:lineRule="exact" w:line="240" w:before="0" w:after="50"/>
        <w:rPr/>
      </w:pPr>
      <w:r>
        <w:rPr>
          <w:rFonts w:eastAsia="Arial" w:cs="Arial"/>
          <w:color w:val="000000"/>
          <w:sz w:val="22"/>
          <w:szCs w:val="22"/>
        </w:rPr>
        <w:t>outputs/linaje_datos.csv - linaje de campos y features.</w:t>
      </w:r>
    </w:p>
    <w:p>
      <w:pPr>
        <w:pStyle w:val="ListParagraph"/>
        <w:numPr>
          <w:ilvl w:val="0"/>
          <w:numId w:val="1"/>
        </w:numPr>
        <w:spacing w:lineRule="exact" w:line="240" w:before="0" w:after="50"/>
        <w:rPr/>
      </w:pPr>
      <w:r>
        <w:rPr>
          <w:rFonts w:eastAsia="Arial" w:cs="Arial"/>
          <w:color w:val="000000"/>
          <w:sz w:val="22"/>
          <w:szCs w:val="22"/>
        </w:rPr>
        <w:t>data/diccionario_datos.csv - diccionario de datos.</w:t>
      </w:r>
    </w:p>
    <w:p>
      <w:pPr>
        <w:pStyle w:val="ListParagraph"/>
        <w:numPr>
          <w:ilvl w:val="0"/>
          <w:numId w:val="1"/>
        </w:numPr>
        <w:spacing w:lineRule="exact" w:line="240" w:before="0" w:after="50"/>
        <w:rPr/>
      </w:pPr>
      <w:r>
        <w:rPr>
          <w:rFonts w:eastAsia="Arial" w:cs="Arial"/>
          <w:color w:val="000000"/>
          <w:sz w:val="22"/>
          <w:szCs w:val="22"/>
        </w:rPr>
        <w:t>outputs/validacion_p0_datos_reales.json - integridad y conteos OCDS/OECE.</w:t>
      </w:r>
    </w:p>
    <w:p>
      <w:pPr>
        <w:pStyle w:val="ListParagraph"/>
        <w:numPr>
          <w:ilvl w:val="0"/>
          <w:numId w:val="1"/>
        </w:numPr>
        <w:spacing w:lineRule="exact" w:line="240" w:before="0" w:after="50"/>
        <w:rPr/>
      </w:pPr>
      <w:r>
        <w:rPr>
          <w:rFonts w:eastAsia="Arial" w:cs="Arial"/>
          <w:color w:val="000000"/>
          <w:sz w:val="22"/>
          <w:szCs w:val="22"/>
        </w:rPr>
        <w:t>outputs/spark_favoritismo_resumen.json y outputs/spark_fraccionamiento_resumen.json - evidencia Spark MLlib.</w:t>
      </w:r>
    </w:p>
    <w:p>
      <w:pPr>
        <w:pStyle w:val="ListParagraph"/>
        <w:numPr>
          <w:ilvl w:val="0"/>
          <w:numId w:val="1"/>
        </w:numPr>
        <w:spacing w:lineRule="exact" w:line="240" w:before="0" w:after="50"/>
        <w:rPr/>
      </w:pPr>
      <w:r>
        <w:rPr>
          <w:rFonts w:eastAsia="Arial" w:cs="Arial"/>
          <w:color w:val="000000"/>
          <w:sz w:val="22"/>
          <w:szCs w:val="22"/>
        </w:rPr>
        <w:t>outputs/graphframes_resumen.json - evidencia GraphFrames.</w:t>
      </w:r>
    </w:p>
    <w:p>
      <w:pPr>
        <w:pStyle w:val="ListParagraph"/>
        <w:numPr>
          <w:ilvl w:val="0"/>
          <w:numId w:val="1"/>
        </w:numPr>
        <w:spacing w:lineRule="exact" w:line="240" w:before="0" w:after="50"/>
        <w:rPr/>
      </w:pPr>
      <w:r>
        <w:rPr>
          <w:rFonts w:eastAsia="Arial" w:cs="Arial"/>
          <w:color w:val="000000"/>
          <w:sz w:val="22"/>
          <w:szCs w:val="22"/>
        </w:rPr>
        <w:t>Directorio ssrs/ - artefactos T-SQL y RDL del PoC.</w:t>
      </w:r>
    </w:p>
    <w:p>
      <w:pPr>
        <w:pStyle w:val="Heading1"/>
        <w:spacing w:lineRule="auto" w:line="240" w:before="0" w:after="60"/>
        <w:rPr/>
      </w:pPr>
      <w:bookmarkStart w:id="19" w:name="__RefHeading___Toc811_1801721159"/>
      <w:bookmarkEnd w:id="19"/>
      <w:r>
        <w:rPr>
          <w:rFonts w:ascii="Arial" w:hAnsi="Arial"/>
          <w:b/>
          <w:sz w:val="22"/>
        </w:rPr>
        <w:t>ANEXO TÉCNICO SPRINT 4 — ANÁLISIS DE PAGOS Y MODALIDADES</w:t>
      </w:r>
    </w:p>
    <w:p>
      <w:pPr>
        <w:pStyle w:val="Normal"/>
        <w:spacing w:lineRule="auto" w:line="240" w:before="0" w:after="60"/>
        <w:jc w:val="both"/>
        <w:rPr/>
      </w:pPr>
      <w:r>
        <w:rPr>
          <w:sz w:val="22"/>
        </w:rPr>
        <w:t>Este anexo cubre la actividad del TDR referida al análisis estadístico y exploratorio de patrones de pagos, montos contractuales y modalidades de contratación. La evidencia del PoC usa pagos sintéticos vinculados a contratos sintéticos; no representa información SIAF real ni determina la legalidad de una modalidad.</w:t>
      </w:r>
    </w:p>
    <w:p>
      <w:pPr>
        <w:pStyle w:val="Heading2"/>
        <w:spacing w:lineRule="auto" w:line="240" w:before="0" w:after="60"/>
        <w:rPr/>
      </w:pPr>
      <w:bookmarkStart w:id="20" w:name="__RefHeading___Toc813_1801721159"/>
      <w:bookmarkEnd w:id="20"/>
      <w:r>
        <w:rPr>
          <w:rFonts w:ascii="Arial" w:hAnsi="Arial"/>
          <w:b/>
          <w:sz w:val="22"/>
        </w:rPr>
        <w:t>Resultados reproducibles</w:t>
      </w:r>
    </w:p>
    <w:tbl>
      <w:tblPr>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c>
          <w:tcPr>
            <w:tcW w:w="4513"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Indicador</w:t>
            </w:r>
          </w:p>
        </w:tc>
        <w:tc>
          <w:tcPr>
            <w:tcW w:w="4512" w:type="dxa"/>
            <w:tcBorders>
              <w:top w:val="single" w:sz="4" w:space="0" w:color="B7B7B7"/>
              <w:left w:val="single" w:sz="4" w:space="0" w:color="B7B7B7"/>
              <w:bottom w:val="single" w:sz="4" w:space="0" w:color="B7B7B7"/>
              <w:right w:val="single" w:sz="4" w:space="0" w:color="B7B7B7"/>
            </w:tcBorders>
            <w:shd w:fill="E7E6E6"/>
          </w:tcPr>
          <w:p>
            <w:pPr>
              <w:pStyle w:val="Normal"/>
              <w:spacing w:lineRule="auto" w:line="240" w:before="0" w:after="60"/>
              <w:rPr/>
            </w:pPr>
            <w:r>
              <w:rPr>
                <w:b/>
                <w:sz w:val="22"/>
              </w:rPr>
              <w:t>Resultado</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sintéticos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6726</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analizados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3709</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Pagos huérfanos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con pago parcial</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452</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Contratos pendientes sin pago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218</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Señales de sobrepago a revisar</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76</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Demora P90 devengado→pagado (días)</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28.0</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especiales no inferibles solo por cuantía</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1422</w:t>
            </w:r>
          </w:p>
        </w:tc>
      </w:tr>
      <w:tr>
        <w:trPr/>
        <w:tc>
          <w:tcPr>
            <w:tcW w:w="4513"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Modalidades que requieren revisión de contexto</w:t>
            </w:r>
          </w:p>
        </w:tc>
        <w:tc>
          <w:tcPr>
            <w:tcW w:w="4512" w:type="dxa"/>
            <w:tcBorders>
              <w:top w:val="single" w:sz="4" w:space="0" w:color="B7B7B7"/>
              <w:left w:val="single" w:sz="4" w:space="0" w:color="B7B7B7"/>
              <w:bottom w:val="single" w:sz="4" w:space="0" w:color="B7B7B7"/>
              <w:right w:val="single" w:sz="4" w:space="0" w:color="B7B7B7"/>
            </w:tcBorders>
          </w:tcPr>
          <w:p>
            <w:pPr>
              <w:pStyle w:val="Normal"/>
              <w:spacing w:lineRule="auto" w:line="240" w:before="0" w:after="60"/>
              <w:rPr/>
            </w:pPr>
            <w:r>
              <w:rPr>
                <w:sz w:val="22"/>
              </w:rPr>
              <w:t>1314</w:t>
            </w:r>
          </w:p>
        </w:tc>
      </w:tr>
    </w:tbl>
    <w:p>
      <w:pPr>
        <w:pStyle w:val="Normal"/>
        <w:spacing w:lineRule="auto" w:line="240" w:before="0" w:after="60"/>
        <w:jc w:val="both"/>
        <w:rPr/>
      </w:pPr>
      <w:r>
        <w:rPr>
          <w:sz w:val="22"/>
        </w:rPr>
        <w:t>La clasificación de modalidades frente a cuantía es únicamente referencial. Contratación Directa, Comparación de Precios, Subasta Inversa, acuerdos marco y otros supuestos pueden depender de condiciones jurídicas o de mercado que no se deducen del monto por sí solo. Por ello, 'requiere revisión de contexto' no equivale a irregularidad.</w:t>
      </w:r>
    </w:p>
    <w:p>
      <w:pPr>
        <w:pStyle w:val="Heading2"/>
        <w:spacing w:lineRule="auto" w:line="240" w:before="0" w:after="60"/>
        <w:rPr/>
      </w:pPr>
      <w:bookmarkStart w:id="21" w:name="__RefHeading___Toc815_1801721159"/>
      <w:bookmarkEnd w:id="21"/>
      <w:r>
        <w:rPr>
          <w:rFonts w:ascii="Arial" w:hAnsi="Arial"/>
          <w:b/>
          <w:sz w:val="22"/>
        </w:rPr>
        <w:t>Distribución de pagos</w:t>
      </w:r>
    </w:p>
    <w:p>
      <w:pPr>
        <w:pStyle w:val="Normal"/>
        <w:spacing w:lineRule="auto" w:line="240" w:before="0" w:after="60"/>
        <w:jc w:val="center"/>
        <w:rPr/>
      </w:pPr>
      <w:r>
        <w:rPr/>
        <w:drawing>
          <wp:inline distT="0" distB="0" distL="0" distR="0">
            <wp:extent cx="5577840" cy="3150235"/>
            <wp:effectExtent l="0" t="0" r="0" b="0"/>
            <wp:docPr id="5"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
                    <pic:cNvPicPr>
                      <a:picLocks noChangeAspect="1" noChangeArrowheads="1"/>
                    </pic:cNvPicPr>
                  </pic:nvPicPr>
                  <pic:blipFill>
                    <a:blip r:embed="rId9"/>
                    <a:stretch>
                      <a:fillRect/>
                    </a:stretch>
                  </pic:blipFill>
                  <pic:spPr bwMode="auto">
                    <a:xfrm>
                      <a:off x="0" y="0"/>
                      <a:ext cx="5577840" cy="3150235"/>
                    </a:xfrm>
                    <a:prstGeom prst="rect">
                      <a:avLst/>
                    </a:prstGeom>
                  </pic:spPr>
                </pic:pic>
              </a:graphicData>
            </a:graphic>
          </wp:inline>
        </w:drawing>
      </w:r>
    </w:p>
    <w:p>
      <w:pPr>
        <w:pStyle w:val="Heading2"/>
        <w:spacing w:lineRule="auto" w:line="240" w:before="0" w:after="60"/>
        <w:rPr/>
      </w:pPr>
      <w:bookmarkStart w:id="22" w:name="__RefHeading___Toc817_1801721159"/>
      <w:bookmarkEnd w:id="22"/>
      <w:r>
        <w:rPr>
          <w:rFonts w:ascii="Arial" w:hAnsi="Arial"/>
          <w:b/>
          <w:sz w:val="22"/>
        </w:rPr>
        <w:t>Modalidades por régimen</w:t>
      </w:r>
    </w:p>
    <w:p>
      <w:pPr>
        <w:pStyle w:val="Normal"/>
        <w:spacing w:lineRule="auto" w:line="240" w:before="0" w:after="60"/>
        <w:jc w:val="center"/>
        <w:rPr/>
      </w:pPr>
      <w:r>
        <w:rPr/>
        <w:drawing>
          <wp:inline distT="0" distB="0" distL="0" distR="0">
            <wp:extent cx="5577840" cy="3222625"/>
            <wp:effectExtent l="0" t="0" r="0" b="0"/>
            <wp:docPr id="6"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
                    <pic:cNvPicPr>
                      <a:picLocks noChangeAspect="1" noChangeArrowheads="1"/>
                    </pic:cNvPicPr>
                  </pic:nvPicPr>
                  <pic:blipFill>
                    <a:blip r:embed="rId10"/>
                    <a:stretch>
                      <a:fillRect/>
                    </a:stretch>
                  </pic:blipFill>
                  <pic:spPr bwMode="auto">
                    <a:xfrm>
                      <a:off x="0" y="0"/>
                      <a:ext cx="5577840" cy="3222625"/>
                    </a:xfrm>
                    <a:prstGeom prst="rect">
                      <a:avLst/>
                    </a:prstGeom>
                  </pic:spPr>
                </pic:pic>
              </a:graphicData>
            </a:graphic>
          </wp:inline>
        </w:drawing>
      </w:r>
    </w:p>
    <w:p>
      <w:pPr>
        <w:pStyle w:val="Heading2"/>
        <w:spacing w:lineRule="auto" w:line="240" w:before="0" w:after="60"/>
        <w:rPr/>
      </w:pPr>
      <w:bookmarkStart w:id="23" w:name="__RefHeading___Toc819_1801721159"/>
      <w:bookmarkEnd w:id="23"/>
      <w:r>
        <w:rPr>
          <w:rFonts w:ascii="Arial" w:hAnsi="Arial"/>
          <w:b/>
          <w:sz w:val="22"/>
        </w:rPr>
        <w:t>Limitación institucional</w:t>
      </w:r>
    </w:p>
    <w:p>
      <w:pPr>
        <w:pStyle w:val="Normal"/>
        <w:spacing w:lineRule="auto" w:line="240" w:before="0" w:after="60"/>
        <w:jc w:val="both"/>
        <w:rPr/>
      </w:pPr>
      <w:r>
        <w:rPr>
          <w:sz w:val="22"/>
        </w:rPr>
        <w:t>El cierre literal con pagos SIAF/SEACE institucionales, diccionarios reales, validación jurídica/funcional y permisos de consulta depende de la CGR y se mantiene registrado en el catálogo de dependencias institucionales.</w:t>
      </w:r>
    </w:p>
    <w:p>
      <w:pPr>
        <w:pStyle w:val="Heading1"/>
        <w:spacing w:lineRule="exact" w:line="240" w:before="240" w:after="120"/>
        <w:rPr/>
      </w:pPr>
      <w:bookmarkStart w:id="24" w:name="__RefHeading___Toc821_1801721159"/>
      <w:bookmarkEnd w:id="24"/>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11"/>
      <w:footerReference w:type="default" r:id="rId12"/>
      <w:footerReference w:type="first" r:id="rId13"/>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12</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Informe Final Técnico Consolidado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header" Target="header1.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11</Pages>
  <Words>666</Words>
  <Characters>4432</Characters>
  <CharactersWithSpaces>5000</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2026-08-09T00:24:08Z</dcterms:created>
  <dc:creator>Noé Calle</dc:creator>
  <dc:description>PROTOTIPO INDEPENDIENTE - no constituye una implementación oficial ni cuenta con aprobación institucional de la CGR.</dc:description>
  <dc:language>en-US</dc:language>
  <cp:lastModifiedBy/>
  <dcterms:modified xsi:type="dcterms:W3CDTF">2026-08-09T00:24:10Z</dcterms:modified>
  <cp:revision>2</cp:revision>
  <dc:subject/>
  <dc:title>Informe Final Técnico Consolidado - Prototipo independiente CGR 1.8.2</dc:title>
</cp:coreProperties>
</file>