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663_1801721159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663_1801721159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65_1801721159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67_1801721159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69_1801721159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71_1801721159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73_1801721159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75_1801721159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77_1801721159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79_1801721159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81_1801721159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83_1801721159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85_1801721159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87_1801721159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89_1801721159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91_1801721159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693_1801721159">
            <w:r>
              <w:rPr>
                <w:rStyle w:val="IndexLink"/>
              </w:rPr>
              <w:t>ANEXO TÉCNICO SPRINT 4 — ANÁLISIS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95_1801721159">
            <w:r>
              <w:rPr>
                <w:rStyle w:val="IndexLink"/>
              </w:rPr>
              <w:t>Resultados reproducibles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97_1801721159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699_1801721159">
            <w:r>
              <w:rPr>
                <w:rStyle w:val="IndexLink"/>
              </w:rPr>
              <w:t>Modalidades por régimen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701_1801721159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703_1801721159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665_1801721159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3667_1801721159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3669_1801721159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671_1801721159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673_1801721159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3675_1801721159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677_1801721159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679_1801721159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0.856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17.6%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max_samples=0.5, contamination=auto.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3681_1801721159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3683_1801721159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685_1801721159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3687_1801721159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3689_1801721159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3691_1801721159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2995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auto" w:line="240" w:before="0" w:after="60"/>
        <w:rPr/>
      </w:pPr>
      <w:bookmarkStart w:id="15" w:name="__RefHeading___Toc3693_1801721159"/>
      <w:bookmarkEnd w:id="15"/>
      <w:r>
        <w:rPr>
          <w:rFonts w:ascii="Arial" w:hAnsi="Arial"/>
          <w:b/>
          <w:sz w:val="22"/>
        </w:rPr>
        <w:t>ANEXO TÉCNICO SPRINT 4 — ANÁLISIS DE PAGOS Y MODALIDADES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la actividad del TDR referida al análisis estadístico y exploratorio de patrones de pagos, montos contractuales y modalidades de contratación. La evidencia del PoC usa pagos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6" w:name="__RefHeading___Toc3695_1801721159"/>
      <w:bookmarkEnd w:id="16"/>
      <w:r>
        <w:rPr>
          <w:rFonts w:ascii="Arial" w:hAnsi="Arial"/>
          <w:b/>
          <w:sz w:val="22"/>
        </w:rPr>
        <w:t>Resultados reproducibles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6726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3709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452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218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1422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1314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clasificación de modalidades frente a cuantía es únicamente referencial. Contratación Directa, Comparación de Precios, Subasta Inversa, acuerdos marco y otros supuestos pueden depender de condiciones jurídicas o de mercado que no se deducen del monto por sí solo. Por ello,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7" w:name="__RefHeading___Toc3697_1801721159"/>
      <w:bookmarkEnd w:id="17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8" w:name="__RefHeading___Toc3699_1801721159"/>
      <w:bookmarkEnd w:id="18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3701_1801721159"/>
      <w:bookmarkEnd w:id="19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 institucionales, diccionarios reales, validación jurídica/funcional y permisos de consulta depende de la CGR y se mantiene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0" w:name="__RefHeading___Toc3703_1801721159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2026-08-09T00:24:08Z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2026-08-09T00:24:12Z</dcterms:modified>
  <cp:revision>2</cp:revision>
  <dc:subject/>
  <dc:title>Informe Final - Entrenamiento, Validación y Cierre Técnico - Prototipo independiente CGR 1.8.2</dc:title>
</cp:coreProperties>
</file>