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773_1564033828"/>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El análisis de pagos usa datos sintéticos y no representa SIAF real.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773_1564033828">
            <w:r>
              <w:rPr>
                <w:rStyle w:val="IndexLink"/>
              </w:rPr>
              <w:t>Resumen Ejecutivo</w:t>
              <w:tab/>
              <w:t>2</w:t>
            </w:r>
          </w:hyperlink>
        </w:p>
        <w:p>
          <w:pPr>
            <w:pStyle w:val="TOC1"/>
            <w:tabs>
              <w:tab w:val="clear" w:pos="9026"/>
              <w:tab w:val="right" w:pos="9025" w:leader="dot"/>
            </w:tabs>
            <w:rPr/>
          </w:pPr>
          <w:hyperlink w:anchor="__RefHeading___Toc775_1564033828">
            <w:r>
              <w:rPr>
                <w:rStyle w:val="IndexLink"/>
              </w:rPr>
              <w:t>Índice de Tablas o Cuadros</w:t>
              <w:tab/>
              <w:t>2</w:t>
            </w:r>
          </w:hyperlink>
        </w:p>
        <w:p>
          <w:pPr>
            <w:pStyle w:val="TOC1"/>
            <w:tabs>
              <w:tab w:val="clear" w:pos="9026"/>
              <w:tab w:val="right" w:pos="9025" w:leader="dot"/>
            </w:tabs>
            <w:rPr/>
          </w:pPr>
          <w:hyperlink w:anchor="__RefHeading___Toc777_1564033828">
            <w:r>
              <w:rPr>
                <w:rStyle w:val="IndexLink"/>
              </w:rPr>
              <w:t>Índice de Gráficos</w:t>
              <w:tab/>
              <w:t>2</w:t>
            </w:r>
          </w:hyperlink>
        </w:p>
        <w:p>
          <w:pPr>
            <w:pStyle w:val="TOC1"/>
            <w:tabs>
              <w:tab w:val="clear" w:pos="9026"/>
              <w:tab w:val="right" w:pos="9025" w:leader="dot"/>
            </w:tabs>
            <w:rPr/>
          </w:pPr>
          <w:hyperlink w:anchor="__RefHeading___Toc779_1564033828">
            <w:r>
              <w:rPr>
                <w:rStyle w:val="IndexLink"/>
              </w:rPr>
              <w:t>Lista de Abreviaturas y Acrónimos</w:t>
              <w:tab/>
              <w:t>3</w:t>
            </w:r>
          </w:hyperlink>
        </w:p>
        <w:p>
          <w:pPr>
            <w:pStyle w:val="TOC1"/>
            <w:tabs>
              <w:tab w:val="clear" w:pos="9026"/>
              <w:tab w:val="right" w:pos="9025" w:leader="dot"/>
            </w:tabs>
            <w:rPr/>
          </w:pPr>
          <w:hyperlink w:anchor="__RefHeading___Toc781_1564033828">
            <w:r>
              <w:rPr>
                <w:rStyle w:val="IndexLink"/>
              </w:rPr>
              <w:t>Glosario</w:t>
              <w:tab/>
              <w:t>3</w:t>
            </w:r>
          </w:hyperlink>
        </w:p>
        <w:p>
          <w:pPr>
            <w:pStyle w:val="TOC1"/>
            <w:tabs>
              <w:tab w:val="clear" w:pos="9026"/>
              <w:tab w:val="right" w:pos="9025" w:leader="dot"/>
            </w:tabs>
            <w:rPr/>
          </w:pPr>
          <w:hyperlink w:anchor="__RefHeading___Toc783_1564033828">
            <w:r>
              <w:rPr>
                <w:rStyle w:val="IndexLink"/>
              </w:rPr>
              <w:t>1. Introducción</w:t>
              <w:tab/>
              <w:t>4</w:t>
            </w:r>
          </w:hyperlink>
        </w:p>
        <w:p>
          <w:pPr>
            <w:pStyle w:val="TOC1"/>
            <w:tabs>
              <w:tab w:val="clear" w:pos="9026"/>
              <w:tab w:val="right" w:pos="9025" w:leader="dot"/>
            </w:tabs>
            <w:rPr/>
          </w:pPr>
          <w:hyperlink w:anchor="__RefHeading___Toc785_1564033828">
            <w:r>
              <w:rPr>
                <w:rStyle w:val="IndexLink"/>
              </w:rPr>
              <w:t>2. Objetivo de Consultoría</w:t>
              <w:tab/>
              <w:t>4</w:t>
            </w:r>
          </w:hyperlink>
        </w:p>
        <w:p>
          <w:pPr>
            <w:pStyle w:val="TOC1"/>
            <w:tabs>
              <w:tab w:val="clear" w:pos="9026"/>
              <w:tab w:val="right" w:pos="9025" w:leader="dot"/>
            </w:tabs>
            <w:rPr/>
          </w:pPr>
          <w:hyperlink w:anchor="__RefHeading___Toc787_1564033828">
            <w:r>
              <w:rPr>
                <w:rStyle w:val="IndexLink"/>
              </w:rPr>
              <w:t>3. Productos Alcanzados</w:t>
              <w:tab/>
              <w:t>4</w:t>
            </w:r>
          </w:hyperlink>
        </w:p>
        <w:p>
          <w:pPr>
            <w:pStyle w:val="TOC2"/>
            <w:tabs>
              <w:tab w:val="clear" w:pos="8743"/>
              <w:tab w:val="right" w:pos="9025" w:leader="dot"/>
            </w:tabs>
            <w:rPr/>
          </w:pPr>
          <w:hyperlink w:anchor="__RefHeading___Toc789_1564033828">
            <w:r>
              <w:rPr>
                <w:rStyle w:val="IndexLink"/>
              </w:rPr>
              <w:t>3.1 Arquitectura, datos y trazabilidad</w:t>
              <w:tab/>
              <w:t>4</w:t>
            </w:r>
          </w:hyperlink>
        </w:p>
        <w:p>
          <w:pPr>
            <w:pStyle w:val="TOC2"/>
            <w:tabs>
              <w:tab w:val="clear" w:pos="8743"/>
              <w:tab w:val="right" w:pos="9025" w:leader="dot"/>
            </w:tabs>
            <w:rPr/>
          </w:pPr>
          <w:hyperlink w:anchor="__RefHeading___Toc791_1564033828">
            <w:r>
              <w:rPr>
                <w:rStyle w:val="IndexLink"/>
              </w:rPr>
              <w:t>3.2 Preparación y benchmark sintético</w:t>
              <w:tab/>
              <w:t>5</w:t>
            </w:r>
          </w:hyperlink>
        </w:p>
        <w:p>
          <w:pPr>
            <w:pStyle w:val="TOC2"/>
            <w:tabs>
              <w:tab w:val="clear" w:pos="8743"/>
              <w:tab w:val="right" w:pos="9025" w:leader="dot"/>
            </w:tabs>
            <w:rPr/>
          </w:pPr>
          <w:hyperlink w:anchor="__RefHeading___Toc793_1564033828">
            <w:r>
              <w:rPr>
                <w:rStyle w:val="IndexLink"/>
              </w:rPr>
              <w:t>3.3 Modelo de priorización de posible favoritismo</w:t>
              <w:tab/>
              <w:t>5</w:t>
            </w:r>
          </w:hyperlink>
        </w:p>
        <w:p>
          <w:pPr>
            <w:pStyle w:val="TOC2"/>
            <w:tabs>
              <w:tab w:val="clear" w:pos="8743"/>
              <w:tab w:val="right" w:pos="9025" w:leader="dot"/>
            </w:tabs>
            <w:rPr/>
          </w:pPr>
          <w:hyperlink w:anchor="__RefHeading___Toc795_1564033828">
            <w:r>
              <w:rPr>
                <w:rStyle w:val="IndexLink"/>
              </w:rPr>
              <w:t>3.4 Modelo de priorización de posible fraccionamiento</w:t>
              <w:tab/>
              <w:t>6</w:t>
            </w:r>
          </w:hyperlink>
        </w:p>
        <w:p>
          <w:pPr>
            <w:pStyle w:val="TOC2"/>
            <w:tabs>
              <w:tab w:val="clear" w:pos="8743"/>
              <w:tab w:val="right" w:pos="9025" w:leader="dot"/>
            </w:tabs>
            <w:rPr/>
          </w:pPr>
          <w:hyperlink w:anchor="__RefHeading___Toc797_1564033828">
            <w:r>
              <w:rPr>
                <w:rStyle w:val="IndexLink"/>
              </w:rPr>
              <w:t>3.5 Implementación Spark MLlib y GraphFrames</w:t>
              <w:tab/>
              <w:t>7</w:t>
            </w:r>
          </w:hyperlink>
        </w:p>
        <w:p>
          <w:pPr>
            <w:pStyle w:val="TOC2"/>
            <w:tabs>
              <w:tab w:val="clear" w:pos="8743"/>
              <w:tab w:val="right" w:pos="9025" w:leader="dot"/>
            </w:tabs>
            <w:rPr/>
          </w:pPr>
          <w:hyperlink w:anchor="__RefHeading___Toc799_1564033828">
            <w:r>
              <w:rPr>
                <w:rStyle w:val="IndexLink"/>
              </w:rPr>
              <w:t>3.6 Validación de integridad con datos públicos OCDS/OECE</w:t>
              <w:tab/>
              <w:t>8</w:t>
            </w:r>
          </w:hyperlink>
        </w:p>
        <w:p>
          <w:pPr>
            <w:pStyle w:val="TOC2"/>
            <w:tabs>
              <w:tab w:val="clear" w:pos="8743"/>
              <w:tab w:val="right" w:pos="9025" w:leader="dot"/>
            </w:tabs>
            <w:rPr/>
          </w:pPr>
          <w:hyperlink w:anchor="__RefHeading___Toc801_1564033828">
            <w:r>
              <w:rPr>
                <w:rStyle w:val="IndexLink"/>
              </w:rPr>
              <w:t>3.7 Autoevaluación, mantenimiento y gobernanza</w:t>
              <w:tab/>
              <w:t>8</w:t>
            </w:r>
          </w:hyperlink>
        </w:p>
        <w:p>
          <w:pPr>
            <w:pStyle w:val="TOC2"/>
            <w:tabs>
              <w:tab w:val="clear" w:pos="8743"/>
              <w:tab w:val="right" w:pos="9025" w:leader="dot"/>
            </w:tabs>
            <w:rPr/>
          </w:pPr>
          <w:hyperlink w:anchor="__RefHeading___Toc803_1564033828">
            <w:r>
              <w:rPr>
                <w:rStyle w:val="IndexLink"/>
              </w:rPr>
              <w:t>3.8 Reporting, documentación y reproducibilidad</w:t>
              <w:tab/>
              <w:t>9</w:t>
            </w:r>
          </w:hyperlink>
        </w:p>
        <w:p>
          <w:pPr>
            <w:pStyle w:val="TOC2"/>
            <w:tabs>
              <w:tab w:val="clear" w:pos="8743"/>
              <w:tab w:val="right" w:pos="9025" w:leader="dot"/>
            </w:tabs>
            <w:rPr/>
          </w:pPr>
          <w:hyperlink w:anchor="__RefHeading___Toc805_1564033828">
            <w:r>
              <w:rPr>
                <w:rStyle w:val="IndexLink"/>
              </w:rPr>
              <w:t>3.9 Matriz de cierre frente al TDR</w:t>
              <w:tab/>
              <w:t>9</w:t>
            </w:r>
          </w:hyperlink>
        </w:p>
        <w:p>
          <w:pPr>
            <w:pStyle w:val="TOC1"/>
            <w:tabs>
              <w:tab w:val="clear" w:pos="9026"/>
              <w:tab w:val="right" w:pos="9025" w:leader="dot"/>
            </w:tabs>
            <w:rPr/>
          </w:pPr>
          <w:hyperlink w:anchor="__RefHeading___Toc807_1564033828">
            <w:r>
              <w:rPr>
                <w:rStyle w:val="IndexLink"/>
              </w:rPr>
              <w:t>4. Conclusiones y Recomendaciones</w:t>
              <w:tab/>
              <w:t>9</w:t>
            </w:r>
          </w:hyperlink>
        </w:p>
        <w:p>
          <w:pPr>
            <w:pStyle w:val="TOC1"/>
            <w:tabs>
              <w:tab w:val="clear" w:pos="9026"/>
              <w:tab w:val="right" w:pos="9025" w:leader="dot"/>
            </w:tabs>
            <w:rPr/>
          </w:pPr>
          <w:hyperlink w:anchor="__RefHeading___Toc809_1564033828">
            <w:r>
              <w:rPr>
                <w:rStyle w:val="IndexLink"/>
              </w:rPr>
              <w:t>5. Anexos</w:t>
              <w:tab/>
              <w:t>10</w:t>
            </w:r>
          </w:hyperlink>
        </w:p>
        <w:p>
          <w:pPr>
            <w:pStyle w:val="TOC1"/>
            <w:tabs>
              <w:tab w:val="clear" w:pos="9026"/>
              <w:tab w:val="right" w:pos="9025" w:leader="dot"/>
            </w:tabs>
            <w:rPr/>
          </w:pPr>
          <w:hyperlink w:anchor="__RefHeading___Toc811_1564033828">
            <w:r>
              <w:rPr>
                <w:rStyle w:val="IndexLink"/>
              </w:rPr>
              <w:t>ANEXO TÉCNICO SPRINT 4 — ANÁLISIS DE PAGOS Y MODALIDADES</w:t>
              <w:tab/>
              <w:t>10</w:t>
            </w:r>
          </w:hyperlink>
        </w:p>
        <w:p>
          <w:pPr>
            <w:pStyle w:val="TOC2"/>
            <w:tabs>
              <w:tab w:val="clear" w:pos="8743"/>
              <w:tab w:val="right" w:pos="9025" w:leader="dot"/>
            </w:tabs>
            <w:rPr/>
          </w:pPr>
          <w:hyperlink w:anchor="__RefHeading___Toc813_1564033828">
            <w:r>
              <w:rPr>
                <w:rStyle w:val="IndexLink"/>
              </w:rPr>
              <w:t>Resultados reproducibles</w:t>
              <w:tab/>
              <w:t>10</w:t>
            </w:r>
          </w:hyperlink>
        </w:p>
        <w:p>
          <w:pPr>
            <w:pStyle w:val="TOC2"/>
            <w:tabs>
              <w:tab w:val="clear" w:pos="8743"/>
              <w:tab w:val="right" w:pos="9025" w:leader="dot"/>
            </w:tabs>
            <w:rPr/>
          </w:pPr>
          <w:hyperlink w:anchor="__RefHeading___Toc815_1564033828">
            <w:r>
              <w:rPr>
                <w:rStyle w:val="IndexLink"/>
              </w:rPr>
              <w:t>Distribución de pagos</w:t>
              <w:tab/>
              <w:t>11</w:t>
            </w:r>
          </w:hyperlink>
        </w:p>
        <w:p>
          <w:pPr>
            <w:pStyle w:val="TOC2"/>
            <w:tabs>
              <w:tab w:val="clear" w:pos="8743"/>
              <w:tab w:val="right" w:pos="9025" w:leader="dot"/>
            </w:tabs>
            <w:rPr/>
          </w:pPr>
          <w:hyperlink w:anchor="__RefHeading___Toc817_1564033828">
            <w:r>
              <w:rPr>
                <w:rStyle w:val="IndexLink"/>
              </w:rPr>
              <w:t>Modalidades por régimen</w:t>
              <w:tab/>
              <w:t>11</w:t>
            </w:r>
          </w:hyperlink>
        </w:p>
        <w:p>
          <w:pPr>
            <w:pStyle w:val="TOC2"/>
            <w:tabs>
              <w:tab w:val="clear" w:pos="8743"/>
              <w:tab w:val="right" w:pos="9025" w:leader="dot"/>
            </w:tabs>
            <w:rPr/>
          </w:pPr>
          <w:hyperlink w:anchor="__RefHeading___Toc819_1564033828">
            <w:r>
              <w:rPr>
                <w:rStyle w:val="IndexLink"/>
              </w:rPr>
              <w:t>Limitación institucional</w:t>
              <w:tab/>
              <w:t>11</w:t>
            </w:r>
          </w:hyperlink>
        </w:p>
        <w:p>
          <w:pPr>
            <w:pStyle w:val="TOC1"/>
            <w:tabs>
              <w:tab w:val="clear" w:pos="9026"/>
              <w:tab w:val="right" w:pos="9025" w:leader="dot"/>
            </w:tabs>
            <w:rPr/>
          </w:pPr>
          <w:hyperlink w:anchor="__RefHeading___Toc821_1564033828">
            <w:r>
              <w:rPr>
                <w:rStyle w:val="IndexLink"/>
              </w:rPr>
              <w:t>Referencias Bibliográficas</w:t>
              <w:tab/>
              <w:t>11</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775_1564033828"/>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77_1564033828"/>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79_1564033828"/>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81_1564033828"/>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83_1564033828"/>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85_1564033828"/>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87_1564033828"/>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89_1564033828"/>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91_1564033828"/>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93_1564033828"/>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95_1564033828"/>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97_1564033828"/>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99_1564033828"/>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801_1564033828"/>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803_1564033828"/>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805_1564033828"/>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807_1564033828"/>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809_1564033828"/>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4a66f2942948e813d92a7d416233dba70ab7917b.</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auto" w:line="240" w:before="0" w:after="60"/>
        <w:rPr/>
      </w:pPr>
      <w:bookmarkStart w:id="19" w:name="__RefHeading___Toc811_1564033828"/>
      <w:bookmarkEnd w:id="19"/>
      <w:r>
        <w:rPr>
          <w:rFonts w:ascii="Arial" w:hAnsi="Arial"/>
          <w:b/>
          <w:sz w:val="22"/>
        </w:rPr>
        <w:t>ANEXO TÉCNICO SPRINT 4 — ANÁLISIS DE PAGOS Y MODALIDADES</w:t>
      </w:r>
    </w:p>
    <w:p>
      <w:pPr>
        <w:pStyle w:val="Normal"/>
        <w:spacing w:lineRule="auto" w:line="240" w:before="0" w:after="60"/>
        <w:jc w:val="both"/>
        <w:rPr/>
      </w:pPr>
      <w:r>
        <w:rPr>
          <w:sz w:val="22"/>
        </w:rPr>
        <w:t>Este anexo cubre la actividad del TDR referida al análisis estadístico y exploratorio de patrones de pagos, montos contractuales y modalidades de contratación. La evidencia del PoC usa pagos sintéticos vinculados a contratos sintéticos; no representa información SIAF real ni determina la legalidad de una modalidad.</w:t>
      </w:r>
    </w:p>
    <w:p>
      <w:pPr>
        <w:pStyle w:val="Heading2"/>
        <w:spacing w:lineRule="auto" w:line="240" w:before="0" w:after="60"/>
        <w:rPr/>
      </w:pPr>
      <w:bookmarkStart w:id="20" w:name="__RefHeading___Toc813_1564033828"/>
      <w:bookmarkEnd w:id="20"/>
      <w:r>
        <w:rPr>
          <w:rFonts w:ascii="Arial" w:hAnsi="Arial"/>
          <w:b/>
          <w:sz w:val="22"/>
        </w:rPr>
        <w:t>Resultados reproducibles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clasificación de modalidades frente a cuantía es únicamente referencial. Contratación Directa, Comparación de Precios, Subasta Inversa, acuerdos marco y otros supuestos pueden depender de condiciones jurídicas o de mercado que no se deducen del monto por sí solo. Por ello, 'requiere revisión de contexto' no equivale a irregularidad.</w:t>
      </w:r>
    </w:p>
    <w:p>
      <w:pPr>
        <w:pStyle w:val="Heading2"/>
        <w:spacing w:lineRule="auto" w:line="240" w:before="0" w:after="60"/>
        <w:rPr/>
      </w:pPr>
      <w:bookmarkStart w:id="21" w:name="__RefHeading___Toc815_1564033828"/>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9"/>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817_1564033828"/>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10"/>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819_1564033828"/>
      <w:bookmarkEnd w:id="23"/>
      <w:r>
        <w:rPr>
          <w:rFonts w:ascii="Arial" w:hAnsi="Arial"/>
          <w:b/>
          <w:sz w:val="22"/>
        </w:rPr>
        <w:t>Limitación institucional</w:t>
      </w:r>
    </w:p>
    <w:p>
      <w:pPr>
        <w:pStyle w:val="Normal"/>
        <w:spacing w:lineRule="auto" w:line="240" w:before="0" w:after="60"/>
        <w:jc w:val="both"/>
        <w:rPr/>
      </w:pPr>
      <w:r>
        <w:rPr>
          <w:sz w:val="22"/>
        </w:rPr>
        <w:t>El cierre literal con pagos SIAF/SEACE institucionales, diccionarios reales, validación jurídica/funcional y permisos de consulta depende de la CGR y se mantiene registrado en el catálogo de dependencias institucionales.</w:t>
      </w:r>
    </w:p>
    <w:p>
      <w:pPr>
        <w:pStyle w:val="Heading1"/>
        <w:spacing w:lineRule="exact" w:line="240" w:before="240" w:after="120"/>
        <w:rPr/>
      </w:pPr>
      <w:bookmarkStart w:id="24" w:name="__RefHeading___Toc821_1564033828"/>
      <w:bookmarkEnd w:id="24"/>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11"/>
      <w:footerReference w:type="default" r:id="rId12"/>
      <w:footerReference w:type="first" r:id="rId13"/>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2100</Words>
  <Characters>13539</Characters>
  <CharactersWithSpaces>15299</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2026-08-09T04:08:29Z</dcterms:created>
  <dc:creator>Noé Calle</dc:creator>
  <dc:description>PROTOTIPO INDEPENDIENTE - no constituye una implementación oficial ni cuenta con aprobación institucional de la CGR.</dc:description>
  <dc:language>en-US</dc:language>
  <cp:lastModifiedBy/>
  <dcterms:modified xsi:type="dcterms:W3CDTF">2026-08-09T04:08:32Z</dcterms:modified>
  <cp:revision>2</cp:revision>
  <dc:subject/>
  <dc:title>Informe Final Técnico Consolidado - Prototipo independiente CGR 1.8.2</dc:title>
</cp:coreProperties>
</file>