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00"/>
      </w:pPr>
    </w:p>
    <w:p>
      <w:pPr>
        <w:jc w:val="center"/>
      </w:pPr>
      <w:r>
        <w:rPr>
          <w:b/>
          <w:bCs/>
          <w:color w:val="1F4E79"/>
          <w:sz w:val="26"/>
          <w:szCs w:val="26"/>
        </w:rPr>
        <w:t xml:space="preserve">PRODUCTO N° 3</w:t>
      </w:r>
    </w:p>
    <w:p>
      <w:pPr>
        <w:spacing w:after="300" w:before="150"/>
        <w:jc w:val="center"/>
      </w:pPr>
      <w:r>
        <w:rPr>
          <w:b/>
          <w:bCs/>
          <w:sz w:val="30"/>
          <w:szCs w:val="30"/>
        </w:rPr>
        <w:t xml:space="preserve">Selección y Desarrollo del Modelo — Favoritismo</w:t>
      </w:r>
    </w:p>
    <w:p>
      <w:pPr>
        <w:spacing w:after="600"/>
        <w:jc w:val="center"/>
      </w:pPr>
      <w:r>
        <w:rPr>
          <w:i/>
          <w:iCs/>
          <w:sz w:val="21"/>
          <w:szCs w:val="21"/>
        </w:rPr>
        <w:t xml:space="preserve">"Módulo de Análisis de Datos para Dar Soporte a los Auditores Durante la Ejecución de los Servicios de Control" — Proyecto Interno 1.8.2</w:t>
      </w:r>
    </w:p>
    <w:p>
      <w:pPr>
        <w:spacing w:before="700"/>
        <w:jc w:val="center"/>
      </w:pPr>
      <w:r>
        <w:rPr>
          <w:sz w:val="19"/>
          <w:szCs w:val="19"/>
        </w:rPr>
        <w:t xml:space="preserve">Prototipo independiente elaborado como prueba de concepto (proof of concept) — no constituye una postulación formal, una implementación oficial, ni cuenta con aprobación institucional de la CGR</w:t>
      </w:r>
    </w:p>
    <w:p>
      <w:pPr>
        <w:spacing w:before="900"/>
        <w:jc w:val="center"/>
      </w:pPr>
      <w:r>
        <w:rPr>
          <w:b/>
          <w:bCs/>
          <w:sz w:val="18"/>
          <w:szCs w:val="18"/>
        </w:rPr>
        <w:t xml:space="preserve">Repositorio de código fuente:</w:t>
      </w:r>
    </w:p>
    <w:p>
      <w:pPr>
        <w:jc w:val="center"/>
      </w:pPr>
      <w:r>
        <w:rPr>
          <w:color w:val="1F4E79"/>
          <w:sz w:val="18"/>
          <w:szCs w:val="18"/>
        </w:rPr>
        <w:t xml:space="preserve">https://github.com/NoeCalle/cgr-analisis-datos</w:t>
      </w:r>
    </w:p>
    <w:p>
      <w:pPr>
        <w:spacing w:before="1000"/>
        <w:jc w:val="center"/>
      </w:pPr>
      <w:r>
        <w:rPr>
          <w:sz w:val="18"/>
          <w:szCs w:val="18"/>
        </w:rPr>
        <w:t xml:space="preserve">Agosto 2026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140" w:before="260"/>
      </w:pPr>
      <w:r>
        <w:t xml:space="preserve">Resumen Ejecutivo</w:t>
      </w:r>
    </w:p>
    <w:p>
      <w:pPr>
        <w:spacing w:after="140"/>
      </w:pPr>
      <w:r>
        <w:rPr>
          <w:sz w:val="21"/>
          <w:szCs w:val="21"/>
        </w:rPr>
        <w:t xml:space="preserve">Se compararon tres candidatos con las mismas particiones out-of-fold. Random Forest obtuvo el mayor AUC-PR (0.671), por encima de Regresión Logística (0.621) y Gradient Boosting (0.418).</w:t>
      </w:r>
    </w:p>
    <w:p>
      <w:pPr>
        <w:spacing w:after="140"/>
      </w:pPr>
      <w:r>
        <w:rPr>
          <w:sz w:val="21"/>
          <w:szCs w:val="21"/>
        </w:rPr>
        <w:t xml:space="preserve">Nota metodológica: este es un prototipo independiente. Las métricas del benchmark sintético evalúan la coherencia del PoC y no estiman desempeño productivo. Las salidas sobre datos públicos son señales de priorización para revisión de auditor y no constituyen hallazgos ni determinaciones automáticas de irregularidad.</w:t>
      </w:r>
    </w:p>
    <w:p>
      <w:pPr>
        <w:pStyle w:val="Heading1"/>
        <w:spacing w:after="140" w:before="260"/>
      </w:pPr>
      <w:r>
        <w:t xml:space="preserve">Índice</w:t>
      </w:r>
    </w:p>
    <w:p>
      <w:pPr>
        <w:spacing w:after="140"/>
      </w:pPr>
      <w:r>
        <w:rPr>
          <w:sz w:val="21"/>
          <w:szCs w:val="21"/>
        </w:rPr>
        <w:t xml:space="preserve">1. Introducción — 2. Objetivo — 3. Productos alcanzados — 4. Actividades realizadas — 5. Grado de cumplimiento — 6. Dificultades y limitaciones — 7. Conclusiones y recomendaciones — 8. Anexos</w:t>
      </w:r>
    </w:p>
    <w:p>
      <w:pPr>
        <w:pStyle w:val="Heading1"/>
        <w:spacing w:after="140" w:before="260"/>
      </w:pPr>
      <w:r>
        <w:t xml:space="preserve">1. Introducción</w:t>
      </w:r>
    </w:p>
    <w:p>
      <w:pPr>
        <w:spacing w:after="140"/>
      </w:pPr>
      <w:r>
        <w:rPr>
          <w:sz w:val="21"/>
          <w:szCs w:val="21"/>
        </w:rPr>
        <w:t xml:space="preserve">Cubre la selección fundamentada del algoritmo supervisado para priorizar pares proveedor-entidad con señales de posible favoritismo.</w:t>
      </w:r>
    </w:p>
    <w:p>
      <w:pPr>
        <w:pStyle w:val="Heading1"/>
        <w:spacing w:after="140" w:before="260"/>
      </w:pPr>
      <w:r>
        <w:t xml:space="preserve">2. Objetivo</w:t>
      </w:r>
    </w:p>
    <w:p>
      <w:pPr>
        <w:spacing w:after="140"/>
      </w:pPr>
      <w:r>
        <w:rPr>
          <w:sz w:val="21"/>
          <w:szCs w:val="21"/>
        </w:rPr>
        <w:t xml:space="preserve">Desarrollar y validar una prueba de concepto de analítica de datos que priorice señales de posible favoritismo, posible fraccionamiento y vínculos proveedor-funcionario para apoyar la revisión del auditor.</w:t>
      </w:r>
    </w:p>
    <w:p>
      <w:pPr>
        <w:pStyle w:val="Heading1"/>
        <w:spacing w:after="140" w:before="260"/>
      </w:pPr>
      <w:r>
        <w:t xml:space="preserve">3. Productos Alcanzados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Diseño de comparación: predicciones out-of-fold, StratifiedKFold 3-fold, mismas particiones para todos; criterio primario: AUC-PR por desbalance severo.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Random Forest: AUC-PR 0.671, AUC-ROC 0.999, F1 0.444.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Regresión Logística: AUC-PR 0.621; Gradient Boosting: AUC-PR 0.418.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Configuración final seleccionada por tuning: 100 árboles, profundidad 3, min_samples_leaf 1.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La selección queda persistida en JSON y puede ser consumida por el entrenamiento final; ya no depende de parámetros escritos manualmente en el informe.</w:t>
      </w:r>
    </w:p>
    <w:p>
      <w:pPr>
        <w:pStyle w:val="Heading1"/>
        <w:spacing w:after="140" w:before="260"/>
      </w:pPr>
      <w:r>
        <w:t xml:space="preserve">4. Actividades Realizadas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Predicciones out-of-fold con StratifiedKFold de 3 particiones.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Comparación ejecutable de Regresión Logística, Random Forest y Gradient Boosting.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Grid search de Random Forest usando AUC-PR por el fuerte desbalance de clase.</w:t>
      </w:r>
    </w:p>
    <w:p>
      <w:pPr>
        <w:pStyle w:val="Heading1"/>
        <w:spacing w:after="140" w:before="260"/>
      </w:pPr>
      <w:r>
        <w:t xml:space="preserve">5. Grado de Cumplimiento del Producto</w:t>
      </w:r>
    </w:p>
    <w:p>
      <w:pPr>
        <w:spacing w:after="140"/>
      </w:pPr>
      <w:r>
        <w:rPr>
          <w:sz w:val="21"/>
          <w:szCs w:val="21"/>
        </w:rPr>
        <w:t xml:space="preserve">Selección técnica completada para el benchmark sintético, con evidencia versionada y reproducible.</w:t>
      </w:r>
    </w:p>
    <w:p>
      <w:pPr>
        <w:pStyle w:val="Heading1"/>
        <w:spacing w:after="140" w:before="260"/>
      </w:pPr>
      <w:r>
        <w:t xml:space="preserve">6. Dificultades y Limitaciones Encontradas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Solo existen 6 positivos sintéticos; las métricas tienen incertidumbre alta.</w:t>
      </w:r>
    </w:p>
    <w:p>
      <w:pPr>
        <w:pStyle w:val="Heading1"/>
        <w:spacing w:after="140" w:before="260"/>
      </w:pPr>
      <w:r>
        <w:t xml:space="preserve">7. Conclusiones y Recomendaciones</w:t>
      </w:r>
    </w:p>
    <w:p>
      <w:pPr>
        <w:spacing w:after="140"/>
      </w:pPr>
      <w:r>
        <w:rPr>
          <w:sz w:val="21"/>
          <w:szCs w:val="21"/>
        </w:rPr>
        <w:t xml:space="preserve">Random Forest es el candidato preferido del PoC por AUC-PR y por su capacidad de explicación con SHAP. La elección debe reevaluarse con ground truth real antes de producción.</w:t>
      </w:r>
    </w:p>
    <w:p>
      <w:pPr>
        <w:pStyle w:val="Heading1"/>
        <w:spacing w:after="140" w:before="260"/>
      </w:pPr>
      <w:r>
        <w:t xml:space="preserve">8. Anexos</w:t>
      </w:r>
    </w:p>
    <w:p>
      <w:pPr>
        <w:spacing w:after="140"/>
      </w:pPr>
      <w:r>
        <w:rPr>
          <w:sz w:val="21"/>
          <w:szCs w:val="21"/>
        </w:rPr>
        <w:t xml:space="preserve">Código, datasets y evidencia machine-readable: ver repositorio indicado en la portada.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sz w:val="17"/>
        <w:szCs w:val="17"/>
      </w:rPr>
      <w:t xml:space="preserve">Página </w:t>
    </w:r>
    <w:r>
      <w:rPr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5"/>
        <w:szCs w:val="15"/>
      </w:rPr>
      <w:t xml:space="preserve">Selección y Desarrollo del Modelo — Favoritismo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2026-08-08T00:49:15.156Z</dcterms:created>
  <dcterms:modified xsi:type="dcterms:W3CDTF">2026-08-08T00:49:15.156Z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