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7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Informe Final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El PoC integra un benchmark sintético reproducible y una validación separada de integridad sobre datos públicos OCDS/OECE. La reconstrucción correcta produce 47,254 contratos analíticos a partir de 47,510 contratos crudos, excluyendo 256 registros sin vínculo award/supplier resoluble.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1. Resultados Vigentes del Benchmark Sintético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200"/>
      </w:tblGrid>
      <w:tr>
        <w:trPr>
          <w:cantSplit/>
          <w:tblHeader/>
        </w:trPr>
        <w:tc>
          <w:tcPr>
            <w:tcW w:type="dxa" w:w="36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52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 vigente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Favoritismo — comparación</w:t>
            </w:r>
          </w:p>
        </w:tc>
        <w:tc>
          <w:tcPr>
            <w:tcW w:type="dxa" w:w="5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Random Forest AUC-PR 0.671; LR 0.621; Gradient Boosting 0.418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Favoritismo — tuning</w:t>
            </w:r>
          </w:p>
        </w:tc>
        <w:tc>
          <w:tcPr>
            <w:tcW w:type="dxa" w:w="5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 árboles, profundidad 3; AUC-PR CV 0.844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Fraccionamiento — holdout</w:t>
            </w:r>
          </w:p>
        </w:tc>
        <w:tc>
          <w:tcPr>
            <w:tcW w:type="dxa" w:w="5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AUC-ROC 0.856; AUC-PR 0.171; precision 17.6%; F1 0.300</w:t>
            </w:r>
          </w:p>
        </w:tc>
      </w:tr>
    </w:tbl>
    <w:p>
      <w:pPr>
        <w:pStyle w:val="Heading1"/>
        <w:spacing w:after="140" w:before="260"/>
      </w:pPr>
      <w:r>
        <w:t xml:space="preserve">2. Validación de Integridad sobre Datos Públicos OCDS/OECE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Relación aplicada: Contract(main_ocid, awardID) -&gt; Award(main_ocid, id) -&gt; awards_suppliers(main_ocid, awards_id).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Contratos analíticos válidos: 47,254.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Adjudicatarios distintos presentes en contratos: 25,861.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Entidades distintas: 2,732.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Categorías OCDS: goods 23,630, services 18,584, works 5,040.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Monto total procesado en la reconstrucción: S/ 23,082,420,702.60.</w:t>
      </w:r>
    </w:p>
    <w:p>
      <w:pPr>
        <w:spacing w:after="140"/>
      </w:pPr>
      <w:r>
        <w:rPr>
          <w:sz w:val="21"/>
          <w:szCs w:val="21"/>
        </w:rPr>
        <w:t xml:space="preserve">Los rankings reales identificables se mantienen fuera del repositorio público. La evidencia versionada es agregada y auditable.</w:t>
      </w:r>
    </w:p>
    <w:p>
      <w:pPr>
        <w:pStyle w:val="Heading1"/>
        <w:spacing w:after="140" w:before="260"/>
      </w:pPr>
      <w:r>
        <w:t xml:space="preserve">3. Arquitectura y Reproducibilidad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Airflow orquesta generación → Bronce → preprocesamiento/features → Plata → selección/modelado → Oro → manifiesto.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Los modelos consumen preferentemente Plata; reporting consume Oro.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GitHub Actions reconstruye el benchmark, ejecuta pruebas y vuelve a correr la selección/tuning.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run_manifest.json y evidencia_documental.json separan resultados observados de afirmaciones manuales.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Delta Lake local demuestra operaciones transaccionales/time travel mientras las versiones estén retenidas; VACUUM puede purgar archivos antiguos.</w:t>
      </w:r>
    </w:p>
    <w:p>
      <w:pPr>
        <w:pStyle w:val="Heading1"/>
        <w:spacing w:after="140" w:before="260"/>
      </w:pPr>
      <w:r>
        <w:t xml:space="preserve">4. Autoevaluación y Gobernanza del Modelo</w:t>
      </w:r>
    </w:p>
    <w:p>
      <w:pPr>
        <w:spacing w:after="140"/>
      </w:pPr>
      <w:r>
        <w:rPr>
          <w:sz w:val="21"/>
          <w:szCs w:val="21"/>
        </w:rPr>
        <w:t xml:space="preserve">La autoevaluación usa PSI y un recall mínimo explícito. Si se activa reentrenamiento, el sistema genera un modelo candidato y lo evalúa en un holdout del lote nuevo que no participó en su entrenamiento. La promoción automática está deshabilitada: requiere revisión/aprobación humana.</w:t>
      </w:r>
    </w:p>
    <w:p>
      <w:pPr>
        <w:pStyle w:val="Heading1"/>
        <w:spacing w:after="140" w:before="260"/>
      </w:pPr>
      <w:r>
        <w:t xml:space="preserve">5. Estado Frente al Entorno Institucional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</w:tblGrid>
      <w:tr>
        <w:trPr>
          <w:cantSplit/>
          <w:tblHeader/>
        </w:trPr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Demostrado en el PoC</w:t>
            </w:r>
          </w:p>
        </w:tc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Pendiente / dependencia institucional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EDA, features, sklearn/Spark local, GraphFrames, Airflow local, Bronce/Plata/Oro local, Delta local, RDL/T-SQL, CI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Datamart CGR, DEV/QA/PROD, Git/CI institucional, servidores SQL/SSRS/SSAS/Power BI institucionales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Validación sintética y OCDS pública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Ground truth real etiquetado y certificación funcional por auditores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Modelo candidato con gate humano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Proceso institucional de aprobación/promoción y operación en marcha blanca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HMS local / Spark local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HDFS/YARN distribuido sobre infraestructura CGR</w:t>
            </w:r>
          </w:p>
        </w:tc>
      </w:tr>
    </w:tbl>
    <w:p>
      <w:pPr>
        <w:pStyle w:val="Heading1"/>
        <w:spacing w:after="140" w:before="260"/>
      </w:pPr>
      <w:r>
        <w:t xml:space="preserve">6. Conclusiones y Recomendaciones</w:t>
      </w:r>
    </w:p>
    <w:p>
      <w:pPr>
        <w:spacing w:after="140"/>
      </w:pPr>
      <w:r>
        <w:rPr>
          <w:sz w:val="21"/>
          <w:szCs w:val="21"/>
        </w:rPr>
        <w:t xml:space="preserve">El PoC demuestra viabilidad técnica y, tras la segunda auditoría, también hace visibles sus límites. Random Forest es el mejor candidato del benchmark de favoritismo; el detector de fraccionamiento presenta una AUC-PR baja en holdout y no debe presentarse como clasificador de irregularidades. La siguiente fase útil requiere datos reales etiquetados, reglas validadas con auditores y despliegue controlado en el entorno institucional.</w:t>
      </w:r>
    </w:p>
    <w:p>
      <w:pPr>
        <w:pStyle w:val="Heading1"/>
        <w:spacing w:after="140" w:before="260"/>
      </w:pPr>
      <w:r>
        <w:t xml:space="preserve">7. Evidencia y Trazabilidad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outputs/evidencia_documental.json — fuente única de cifras de estos documentos.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outputs/comparacion_modelos_favoritismo.json — comparación OOF de candidatos.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outputs/tuning_favoritismo_resumen.json — configuración de Random Forest.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outputs/tuning_fraccionamiento_resumen.json — diseño y métricas de holdout.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outputs/validacion_p0_datos_reales.json — integridad Contract → Award → Supplier y conteos OCDS.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Commit de evidencia: 3ff9cabdb0210b537aabe0281ec695278d818760.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Informe Final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2026-08-08T00:49:15.166Z</dcterms:created>
  <dcterms:modified xsi:type="dcterms:W3CDTF">2026-08-08T00:49:15.166Z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