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como una contribución de licencia abierta al control gubernamental y a la lucha anticorrupción.</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(7 de 7 casos marcados fueron fraccionamiento real) sobre 8 casos sembrados en 149 grupos proveedor-entidad-objeto.</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Evaluación de Vínculos Proveedor–Funcionario (Análisis de Grafos)</w:t>
      </w:r>
    </w:p>
    <w:p>
      <w:pPr>
        <w:spacing w:after="160"/>
      </w:pPr>
      <w:r>
        <w:rPr>
          <w:sz w:val="22"/>
          <w:szCs w:val="22"/>
        </w:rPr>
        <w:t xml:space="preserve">Cubre el numeral 4.2.4 del TDR: "Análisis de grafos o redes para mapear y evaluar relaciones entre proveedores y funcionarios (ej. por DNI, RUC, direcciones, teléfonos, etc.)". A diferencia de los modelos de favoritismo y fraccionamiento, que operan solo sobre datos de SIAF/SEACE, este módulo requiere cruzar con una tercera fuente de datos de contacto (típicamente RENIEC/SUNAT/RNP), que aquí se simula, ya que no forma parte de SIAF ni SEACE por sí solos.</w:t>
      </w:r>
    </w:p>
    <w:p>
      <w:pPr>
        <w:spacing w:after="160"/>
      </w:pPr>
      <w:r>
        <w:rPr>
          <w:sz w:val="22"/>
          <w:szCs w:val="22"/>
        </w:rPr>
        <w:t xml:space="preserve">Se construyó un grafo bipartito con los 220 proveedores y 60 funcionarios simulados, con una arista por cada par que tiene al menos un contrato entre sí (3,020 aristas en total). Cada arista se marca automáticamente si el proveedor y el funcionario comparten el mismo número de teléfono o la misma dirección registrada — la señal típica de una empresa fachada controlada por el propio funcionario o un allegado.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500"/>
        <w:gridCol w:w="3300"/>
      </w:tblGrid>
      <w:tr>
        <w:tc>
          <w:tcPr>
            <w:tcW w:type="dxa" w:w="55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3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Vínculos impropios sembrados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Aristas marcadas por el algoritmo</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Aciertos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 de 5 (100%)</w:t>
            </w:r>
          </w:p>
        </w:tc>
      </w:tr>
    </w:tbl>
    <w:p>
      <w:pPr>
        <w:spacing w:after="160"/>
      </w:pPr>
      <w:r>
        <w:rPr>
          <w:sz w:val="4"/>
          <w:szCs w:val="4"/>
        </w:rPr>
        <w:t xml:space="preserve"/>
      </w:r>
    </w:p>
    <w:p>
      <w:pPr>
        <w:spacing w:after="100"/>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43300"/>
                    </a:xfrm>
                    <a:prstGeom prst="rect">
                      <a:avLst/>
                    </a:prstGeom>
                  </pic:spPr>
                </pic:pic>
              </a:graphicData>
            </a:graphic>
          </wp:inline>
        </w:drawing>
      </w:r>
    </w:p>
    <w:p>
      <w:pPr>
        <w:spacing w:after="200" w:before="60"/>
        <w:jc w:val="center"/>
      </w:pPr>
      <w:r>
        <w:rPr>
          <w:i/>
          <w:iCs/>
          <w:color w:val="666666"/>
          <w:sz w:val="18"/>
          <w:szCs w:val="18"/>
        </w:rPr>
        <w:t xml:space="preserve">Figura 7. Red proveedor–funcionario; los 5 vínculos sospechosos (líneas rojas) fueron detectados con 100% de precisión sobre una muestra de contexto de relaciones normales.</w:t>
      </w:r>
    </w:p>
    <w:p>
      <w:pPr>
        <w:spacing w:after="160"/>
      </w:pPr>
      <w:r>
        <w:rPr>
          <w:sz w:val="22"/>
          <w:szCs w:val="22"/>
        </w:rPr>
        <w:t xml:space="preserve">Nota: esta señal (coincidencia exacta de teléfono/dirección) es deliberadamente simple y de alta precisión pero baja cobertura — no detecta vínculos encubiertos con datos de contacto distintos (ej. un tercero testaferro). Una versión de producción debería complementarse con análisis de centralidad de red (funcionarios que concentran decisiones sobre pocos proveedores) y con fuzzy matching de direcciones, no solo coincidencia exacta.</w:t>
      </w:r>
    </w:p>
    <w:p>
      <w:pPr>
        <w:pStyle w:val="Heading2"/>
        <w:spacing w:after="100" w:before="200"/>
      </w:pPr>
      <w:r>
        <w:t xml:space="preserve">5.1. Validación con Spark GraphFrames real (no solo networkx)</w:t>
      </w:r>
    </w:p>
    <w:p>
      <w:pPr>
        <w:spacing w:after="160"/>
      </w:pPr>
      <w:r>
        <w:rPr>
          <w:sz w:val="22"/>
          <w:szCs w:val="22"/>
        </w:rPr>
        <w:t xml:space="preserve">El análisis anterior se construyó con networkx porque GraphFrames no lograba resolverse sin acceso a Maven Central desde este entorno (ver Anexo B). Se obtuvieron los .jar exactos — io.graphframes:graphframes-spark4_2.13:0.10.0, compilados específicamente para Spark 4.x con Scala 2.13 — desde una máquina con internet sin restricciones, y se cargaron manualmente vía spark.jars. El resultado corre sobre Spark GraphFrames real, no una simulación:</w:t>
      </w:r>
    </w:p>
    <w:p>
      <w:pPr>
        <w:pStyle w:val="ListParagraph"/>
        <w:numPr>
          <w:ilvl w:val="0"/>
          <w:numId w:val="1"/>
        </w:numPr>
        <w:spacing w:after="80"/>
      </w:pPr>
      <w:r>
        <w:rPr>
          <w:sz w:val="22"/>
          <w:szCs w:val="22"/>
        </w:rPr>
        <w:t xml:space="preserve">Los mismos 5 de 5 vínculos sospechosos sembrados fueron detectados — confirmación cruzada entre networkx y GraphFrames.</w:t>
      </w:r>
    </w:p>
    <w:p>
      <w:pPr>
        <w:pStyle w:val="ListParagraph"/>
        <w:numPr>
          <w:ilvl w:val="0"/>
          <w:numId w:val="1"/>
        </w:numPr>
        <w:spacing w:after="80"/>
      </w:pPr>
      <w:r>
        <w:rPr>
          <w:sz w:val="22"/>
          <w:szCs w:val="22"/>
        </w:rPr>
        <w:t xml:space="preserve">PageRank identificó a los funcionarios más centrales de la red de contratación (no solo el que más contratos tiene, sino su posición relativa dentro de la red completa) — exactamente la mejora que la nota anterior señalaba como pendiente.</w:t>
      </w:r>
    </w:p>
    <w:p>
      <w:pPr>
        <w:pStyle w:val="ListParagraph"/>
        <w:numPr>
          <w:ilvl w:val="0"/>
          <w:numId w:val="1"/>
        </w:numPr>
        <w:spacing w:after="80"/>
      </w:pPr>
      <w:r>
        <w:rPr>
          <w:sz w:val="22"/>
          <w:szCs w:val="22"/>
        </w:rPr>
        <w:t xml:space="preserve">Connected Components agrupó los 280 nodos (proveedores + funcionarios) en un solo componente conectado — en una red real con más entidades, esta técnica permitiría aislar comunidades de contratación independientes entre sí.</w:t>
      </w:r>
    </w:p>
    <w:p>
      <w:pPr>
        <w:spacing w:after="160"/>
      </w:pPr>
      <w:r>
        <w:rPr>
          <w:sz w:val="22"/>
          <w:szCs w:val="22"/>
        </w:rPr>
        <w:t xml:space="preserve">Código en src/spark/vinculos_graphframes.py; resultados en outputs/vinculos_graphframes_*.csv.</w:t>
      </w:r>
    </w:p>
    <w:p>
      <w:pPr>
        <w:pStyle w:val="Heading1"/>
        <w:spacing w:after="150" w:before="300"/>
      </w:pPr>
      <w:r>
        <w:t xml:space="preserve">6. Diccionario de Datos y Diagrama del Modelo</w:t>
      </w:r>
    </w:p>
    <w:p>
      <w:pPr>
        <w:spacing w:after="160"/>
      </w:pPr>
      <w:r>
        <w:rPr>
          <w:sz w:val="22"/>
          <w:szCs w:val="22"/>
        </w:rPr>
        <w:t xml:space="preserve">Cubre el numeral 3.2.g del TDR ("Elaborar y mantener actualizado el diccionario y diagrama del modelo de datos") y el ítem 8 del checklist del Anexo 3 (documentación de linaje: rastreo del dato desde la fuente hasta el modelo final).</w:t>
      </w:r>
    </w:p>
    <w:p>
      <w:pPr>
        <w:spacing w:after="10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381125"/>
                    </a:xfrm>
                    <a:prstGeom prst="rect">
                      <a:avLst/>
                    </a:prstGeom>
                  </pic:spPr>
                </pic:pic>
              </a:graphicData>
            </a:graphic>
          </wp:inline>
        </w:drawing>
      </w:r>
    </w:p>
    <w:p>
      <w:pPr>
        <w:spacing w:after="200" w:before="60"/>
        <w:jc w:val="center"/>
      </w:pPr>
      <w:r>
        <w:rPr>
          <w:i/>
          <w:iCs/>
          <w:color w:val="666666"/>
          <w:sz w:val="18"/>
          <w:szCs w:val="18"/>
        </w:rPr>
        <w:t xml:space="preserve">Figura 8. Diagrama del modelo de datos: tablas fuente (SIAF/SEACE simuladas), relaciones y linaje hacia las tablas derivadas de cada modelo.</w:t>
      </w:r>
    </w:p>
    <w:p>
      <w:pPr>
        <w:pStyle w:val="Heading2"/>
        <w:spacing w:after="100" w:before="200"/>
      </w:pPr>
      <w:r>
        <w:t xml:space="preserve">6.1. Diccionario de datos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5100"/>
      </w:tblGrid>
      <w:t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Tabla.Columna</w:t>
            </w:r>
          </w:p>
        </w:tc>
        <w:tc>
          <w:tcPr>
            <w:tcW w:type="dxa" w:w="1500"/>
            <w:shd w:fill="1F4E79" w:val="clear"/>
            <w:tcMar>
              <w:top w:type="dxa" w:w="60"/>
              <w:left w:type="dxa" w:w="100"/>
              <w:bottom w:type="dxa" w:w="60"/>
              <w:right w:type="dxa" w:w="100"/>
            </w:tcMar>
            <w:vAlign w:val="center"/>
          </w:tcPr>
          <w:p>
            <w:pPr>
              <w:jc w:val="left"/>
            </w:pPr>
            <w:r>
              <w:rPr>
                <w:b/>
                <w:bCs/>
                <w:color w:val="FFFFFF"/>
                <w:sz w:val="20"/>
                <w:szCs w:val="20"/>
              </w:rPr>
              <w:t xml:space="preserve">Tipo</w:t>
            </w:r>
          </w:p>
        </w:tc>
        <w:tc>
          <w:tcPr>
            <w:tcW w:type="dxa" w:w="5100"/>
            <w:shd w:fill="1F4E79" w:val="clear"/>
            <w:tcMar>
              <w:top w:type="dxa" w:w="60"/>
              <w:left w:type="dxa" w:w="100"/>
              <w:bottom w:type="dxa" w:w="60"/>
              <w:right w:type="dxa" w:w="100"/>
            </w:tcMar>
            <w:vAlign w:val="center"/>
          </w:tcPr>
          <w:p>
            <w:pPr>
              <w:jc w:val="left"/>
            </w:pPr>
            <w:r>
              <w:rPr>
                <w:b/>
                <w:bCs/>
                <w:color w:val="FFFFFF"/>
                <w:sz w:val="20"/>
                <w:szCs w:val="20"/>
              </w:rPr>
              <w:t xml:space="preserve">Descripción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contrato (simula clave de proceso SEACE).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Referencia al proveedor adjudicado. Llave foránea a proveedores.id_proveedor.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pública contratante. Llave foránea a entidades.id_entidad.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Funcionario responsable del proceso. Llave foránea a funcionarios.id_funcionario.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contratos_siaf_seace.modalidad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Modalidad de contratación según la Ley de Contrataciones del Estado.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Tipo de bien, servicio u obra contratado.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contractual en soles.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contratos_siaf_seace.fecha_contrato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fecha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Fecha de suscripción del contrato.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contratos_siaf_seace.es_favoritismo_real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contratos_siaf_seace.es_fraccionamiento_real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proveedores.ruc</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Registro Único de Contribuyente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proveedores.razon_social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Razón social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 la entidad pública.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entidades.nombre_entidad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Nombre de la entidad pública contratante.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funcionarios.dni_funcionario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DNI del funcionario (para futuro cruce de vínculos, numeral 4.2.4).</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a la que pertenece 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dataset_favoritismo.id_proveedor / 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par proveedor-entidad agregado.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dataset_favoritismo.n_contratos</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 de contratos ganados por el proveedor en la 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dataset_favoritismo.monto_total / monto_promedio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acumulado y promedio de los contratos del par.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dataset_favoritismo.pct_no_competitiva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bajo modalidades poco competitivas.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dataset_favoritismo.concentracion_objeto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1 − (objetos distintos / n° contratos). Cercano a 1 = siempre el mismo 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dataset_favoritismo.score_riesgo_favoritismo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Random Forest — probabilidad estimada de favoritismo.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dataset_fraccionamiento.id_proveedor / id_entidad / 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grupo proveedor-entidad-objeto.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dataset_fraccionamiento.max_contratos_ventana_15d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Máximo de contratos del grupo en cualquier ventana móvil de 15 días.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dataset_fraccionamiento.pct_montos_bajo_umbral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con monto &lt; 95% del umbral de Adjudicación Simplificada.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dataset_fraccionamiento.score_anomalia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Isolation Forest — score de anomalía.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dataset_fraccionamiento.cumple_regla_fraccionamiento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Regla interpretable: ≥3 contratos en 15 días Y ≥70% de montos bajo el umbral.</w:t>
            </w:r>
          </w:p>
        </w:tc>
      </w:tr>
    </w:tbl>
    <w:p>
      <w:r>
        <w:br w:type="page"/>
      </w:r>
    </w:p>
    <w:p>
      <w:pPr>
        <w:pStyle w:val="Heading1"/>
        <w:spacing w:after="150" w:before="300"/>
      </w:pPr>
      <w:r>
        <w:t xml:space="preserve">7.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La señal de vínculos (Sección 5) usa coincidencia exacta de teléfono/dirección; en producción requeriría fuzzy matching y cruce con RENIEC/SUNAT real.</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ni el proceso de certificación institucional descritos en el TDR.</w:t>
      </w:r>
    </w:p>
    <w:p>
      <w:pPr>
        <w:pStyle w:val="ListParagraph"/>
        <w:numPr>
          <w:ilvl w:val="0"/>
          <w:numId w:val="1"/>
        </w:numPr>
        <w:spacing w:after="80"/>
      </w:pPr>
      <w:r>
        <w:rPr>
          <w:sz w:val="22"/>
          <w:szCs w:val="22"/>
        </w:rPr>
        <w:t xml:space="preserve">El DAG de Airflow (Sección 9) usa BashOperator invocando procesos Python locales; en producción las tareas de entrenamiento usarían SparkSubmitOperator sobre el clúster YARN de la CGR.</w:t>
      </w:r>
    </w:p>
    <w:p>
      <w:pPr>
        <w:pStyle w:val="Heading1"/>
        <w:spacing w:after="150" w:before="300"/>
      </w:pPr>
      <w:r>
        <w:t xml:space="preserve">8. Validación en Apache Spark MLlib (Ejecutado)</w:t>
      </w:r>
    </w:p>
    <w:p>
      <w:pPr>
        <w:spacing w:after="160"/>
      </w:pPr>
      <w:r>
        <w:rPr>
          <w:sz w:val="22"/>
          <w:szCs w:val="22"/>
        </w:rPr>
        <w:t xml:space="preserve">A diferencia de las secciones anteriores, que describen el prototipo en scikit-learn, esta sección documenta una ejecución real sobre pyspark.ml en modo local (local[*], sin clúster YARN), para cerrar la brecha señalada frente al objetivo específico 3.2.a del TDR ("Diseñar, entrenar y optimizar modelos... utilizando Apache Spark (Spark MLlib)").</w:t>
      </w:r>
    </w:p>
    <w:p>
      <w:pPr>
        <w:pStyle w:val="Heading2"/>
        <w:spacing w:after="100" w:before="200"/>
      </w:pPr>
      <w:r>
        <w:t xml:space="preserve">8.1. Favoritismo — RandomForestClassifier (pyspark.ml)</w:t>
      </w:r>
    </w:p>
    <w:p>
      <w:pPr>
        <w:spacing w:after="160"/>
      </w:pPr>
      <w:r>
        <w:rPr>
          <w:sz w:val="22"/>
          <w:szCs w:val="22"/>
        </w:rPr>
        <w:t xml:space="preserve">Misma arquitectura que la versión scikit-learn (300 árboles, profundidad 6), con ponderación de clases vía columna de pesos (Spark MLlib no tiene class_weight='balanced' nativo). Resultado: los 6 casos reales sembrados aparecen en el top-6 del ranking, igual que en la versión scikit-learn. Sesión Spark completa (arranque + entrenamiento + evaluación): ~50 segundos en modo local — el costo real de portar a Spark es de infraestructura y arranque, no de lógica de modelado.</w:t>
      </w:r>
    </w:p>
    <w:p>
      <w:pPr>
        <w:pStyle w:val="Heading2"/>
        <w:spacing w:after="100" w:before="200"/>
      </w:pPr>
      <w:r>
        <w:t xml:space="preserve">8.2. Fraccionamiento — decisión de arquitectura real: KMeans en vez de Isolation Forest</w:t>
      </w:r>
    </w:p>
    <w:p>
      <w:pPr>
        <w:spacing w:after="160"/>
      </w:pPr>
      <w:r>
        <w:rPr>
          <w:sz w:val="22"/>
          <w:szCs w:val="22"/>
        </w:rPr>
        <w:t xml:space="preserve">Hallazgo de implementación no anticipado: Spark MLlib no incluye Isolation Forest de forma nativa y no existe un paquete confiable en PyPI que lo agregue a pyspark.ml. El numeral 4.2.3 del TDR permite explícitamente "agrupamiento (clustering) o detección de anomalías", por lo que se implementó KMeans (pyspark.ml.clustering) usando la distancia al centroide asignado como score de anomalía — la alternativa nativa correcta dentro de MLlib.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000"/>
        <w:gridCol w:w="1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Enfoque (Spark MLlib)</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KMeans (distancia a centroide,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0.0%</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Este resultado refuerza el hallazgo central del prototipo (Sección 4): KMeans en Spark tuvo un desempeño incluso menor que Isolation Forest en scikit-learn (0/8 vs. 3/8) para detectar fraccionamiento sin contexto normativo, mientras que la regla interpretable mantuvo 100% de precisión de forma idéntica en ambas plataformas. La elección del algoritmo de "caja negra" importa menos que traducir correctamente el umbral legal a una regla computable.</w:t>
      </w:r>
    </w:p>
    <w:p>
      <w:pPr>
        <w:pStyle w:val="Heading2"/>
        <w:spacing w:after="100" w:before="200"/>
      </w:pPr>
      <w:r>
        <w:t xml:space="preserve">8.3. Lo que sigue siendo trabajo pendiente</w:t>
      </w:r>
    </w:p>
    <w:p>
      <w:pPr>
        <w:pStyle w:val="ListParagraph"/>
        <w:numPr>
          <w:ilvl w:val="0"/>
          <w:numId w:val="1"/>
        </w:numPr>
        <w:spacing w:after="80"/>
      </w:pPr>
      <w:r>
        <w:rPr>
          <w:sz w:val="22"/>
          <w:szCs w:val="22"/>
        </w:rPr>
        <w:t xml:space="preserve">Ejecución sobre un clúster YARN real, no en modo local[*] sobre una sola máquina.</w:t>
      </w:r>
    </w:p>
    <w:p>
      <w:pPr>
        <w:pStyle w:val="ListParagraph"/>
        <w:numPr>
          <w:ilvl w:val="0"/>
          <w:numId w:val="1"/>
        </w:numPr>
        <w:spacing w:after="80"/>
      </w:pPr>
      <w:r>
        <w:rPr>
          <w:sz w:val="22"/>
          <w:szCs w:val="22"/>
        </w:rPr>
        <w:t xml:space="preserve">Lectura desde el Lakehouse (capas Bronce/Plata/Oro) en vez de un CSV local.</w:t>
      </w:r>
    </w:p>
    <w:p>
      <w:pPr>
        <w:pStyle w:val="ListParagraph"/>
        <w:numPr>
          <w:ilvl w:val="0"/>
          <w:numId w:val="1"/>
        </w:numPr>
        <w:spacing w:after="80"/>
      </w:pPr>
      <w:r>
        <w:rPr>
          <w:sz w:val="22"/>
          <w:szCs w:val="22"/>
        </w:rPr>
        <w:t xml:space="preserve">Orquestación con Airflow, integración SSRS/Power BI y despliegue en ambientes de certificación — ver limitaciones.</w:t>
      </w:r>
    </w:p>
    <w:p>
      <w:pPr>
        <w:pStyle w:val="Heading1"/>
        <w:spacing w:after="150" w:before="300"/>
      </w:pPr>
      <w:r>
        <w:t xml:space="preserve">9. Orquestación con Apache Airflow (Ejecutado)</w:t>
      </w:r>
    </w:p>
    <w:p>
      <w:pPr>
        <w:spacing w:after="160"/>
      </w:pPr>
      <w:r>
        <w:rPr>
          <w:sz w:val="22"/>
          <w:szCs w:val="22"/>
        </w:rPr>
        <w:t xml:space="preserve">Cubre el numeral 6 del TDR ("Orquestación de Procesos ETL (DAGs): Diseñar, desarrollar y probar los Directed Acyclic Graphs (DAGs)"). Se instaló Apache Airflow 3.3.0 en un entorno aislado, se construyó un DAG con las 9 etapas del pipeline respetando el linaje real de los datos, y se ejecutó de punta a punta con el comando `airflow dags test` — no es un diagrama teórico, es una corrida real sobre el motor de ejecución de Airflow.</w:t>
      </w:r>
    </w:p>
    <w:p>
      <w:pPr>
        <w:spacing w:after="100"/>
        <w:jc w:val="center"/>
      </w:pPr>
      <w:r>
        <w:drawing>
          <wp:inline distT="0" distB="0" distL="0" distR="0">
            <wp:extent cx="5334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238250"/>
                    </a:xfrm>
                    <a:prstGeom prst="rect">
                      <a:avLst/>
                    </a:prstGeom>
                  </pic:spPr>
                </pic:pic>
              </a:graphicData>
            </a:graphic>
          </wp:inline>
        </w:drawing>
      </w:r>
    </w:p>
    <w:p>
      <w:pPr>
        <w:spacing w:after="200" w:before="60"/>
        <w:jc w:val="center"/>
      </w:pPr>
      <w:r>
        <w:rPr>
          <w:i/>
          <w:iCs/>
          <w:color w:val="666666"/>
          <w:sz w:val="18"/>
          <w:szCs w:val="18"/>
        </w:rPr>
        <w:t xml:space="preserve">Figura 9. Grafo del DAG modulo_analisis_datos_1_8_2 — 9 tareas con 3 ramas paralelas tras la publicación de la capa Plata.</w:t>
      </w:r>
    </w:p>
    <w:p>
      <w:pPr>
        <w:spacing w:after="160"/>
      </w:pPr>
      <w:r>
        <w:rPr>
          <w:sz w:val="22"/>
          <w:szCs w:val="22"/>
        </w:rPr>
        <w:t xml:space="preserve">El DAG respeta el linaje real: genera los datos → los publica en la capa Bronce (ingesta cruda) → limpieza y feature engineering → publica en la capa Plata (refinado) → entrena ambos modelos y analiza vínculos en paralelo → publica resultados en la capa Oro (nivel de negocio) → genera la documentación final. Las capas Bronce/Plata/Oro se simulan como carpetas locales (`lakehouse/`), organizadas según la arquitectura del Anexo 2 del TDR — en producción serían tablas Delta Lake sobre Hadoop, no carpetas de archivos.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1800"/>
        <w:gridCol w:w="18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Tarea</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Duración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generar_datos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cargar_capa_bronce</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preprocesamiento_y_features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2.8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publicar_capa_plata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entrenar_modelo_favoritismo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16.3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entrenar_modelo_fraccionamiento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2.9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analizar_vinculos_proveedor_funcionario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publicar_capa_oro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generar_diccionario_y_diagrama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0.6 s</w:t>
            </w:r>
          </w:p>
        </w:tc>
      </w:tr>
    </w:tbl>
    <w:p>
      <w:pPr>
        <w:spacing w:after="160"/>
      </w:pPr>
      <w:r>
        <w:rPr>
          <w:sz w:val="4"/>
          <w:szCs w:val="4"/>
        </w:rPr>
        <w:t xml:space="preserve"/>
      </w:r>
    </w:p>
    <w:p>
      <w:pPr>
        <w:spacing w:after="160"/>
      </w:pPr>
      <w:r>
        <w:rPr>
          <w:sz w:val="22"/>
          <w:szCs w:val="22"/>
        </w:rPr>
        <w:t xml:space="preserve">Resultado: 9/9 tareas completadas con estado "success", corrida completa en 38.5 segundos. En producción, las tareas de entrenamiento (hoy procesos Python locales invocados vía BashOperator) se reemplazarían por SparkSubmitOperator apuntando al clúster YARN de la CGR — el DAG y su lógica de dependencias no cambian, solo el operador que ejecuta cada tarea.</w:t>
      </w:r>
    </w:p>
    <w:p>
      <w:pPr>
        <w:pStyle w:val="Heading1"/>
        <w:spacing w:after="150" w:before="300"/>
      </w:pPr>
      <w:r>
        <w:t xml:space="preserve">10. Búsqueda Sistemática de Hiperparámetros (Ejecutado)</w:t>
      </w:r>
    </w:p>
    <w:p>
      <w:pPr>
        <w:spacing w:after="160"/>
      </w:pPr>
      <w:r>
        <w:rPr>
          <w:sz w:val="22"/>
          <w:szCs w:val="22"/>
        </w:rPr>
        <w:t xml:space="preserve">Cierra la brecha señalada frente al numeral 4.2.5 del TDR ("optimizar hiperparámetros para maximizar la precisión, recall, F1-score u otras métricas relevantes"). El prototipo original usaba valores razonables elegidos a mano; se reemplazaron por búsquedas en grilla con validación cruzada, ejecutadas tanto en scikit-learn como en Spark MLlib, de forma independiente.</w:t>
      </w:r>
    </w:p>
    <w:p>
      <w:pPr>
        <w:pStyle w:val="Heading2"/>
        <w:spacing w:after="100" w:before="200"/>
      </w:pPr>
      <w:r>
        <w:t xml:space="preserve">10.1. Favoritismo — GridSearchCV (scikit-learn) y CrossValidator (Spark MLlib)</w:t>
      </w:r>
    </w:p>
    <w:p>
      <w:pPr>
        <w:spacing w:after="160"/>
      </w:pPr>
      <w:r>
        <w:rPr>
          <w:sz w:val="22"/>
          <w:szCs w:val="22"/>
        </w:rPr>
        <w:t xml:space="preserve">60 combinaciones de hiperparámetros (n° de árboles, profundidad máxima, mínimo de muestras por hoja) evaluadas con validación cruzada estratificada de 3 particiones, usando AUC-PR como métrica (más informativa que accuracy con 0.25% de clase positiva). Las 60 combinaciones alcanzaron el mismo AUC-PR máximo (1.00) — resultado esperable en datos sintéticos con separación clara. Se seleccionó la configuración más liviana entre las empatadas (100 árboles, profundidad 3), que entrena un 65% más rápido que la configuración original (300 árboles, profundidad 6) sin pérdida de desempeño.</w:t>
      </w:r>
    </w:p>
    <w:p>
      <w:pPr>
        <w:spacing w:after="160"/>
      </w:pPr>
      <w:r>
        <w:rPr>
          <w:sz w:val="22"/>
          <w:szCs w:val="22"/>
        </w:rPr>
        <w:t xml:space="preserve">De forma independiente, se ejecutó la misma búsqueda con pyspark.ml.tuning.CrossValidator y ParamGridBuilder (4 combinaciones × 3 folds = 12 ajustes de modelo sobre Spark MLlib real): el mejor modelo encontrado por Spark usó exactamente los mismos hiperparámetros (100 árboles, profundidad 3) que scikit-learn — una confirmación cruzada entre ambas plataformas, no solo dentro de una.</w:t>
      </w:r>
    </w:p>
    <w:p>
      <w:pPr>
        <w:pStyle w:val="Heading2"/>
        <w:spacing w:after="100" w:before="200"/>
      </w:pPr>
      <w:r>
        <w:t xml:space="preserve">10.2. Fraccionamiento — hallazgo: el techo es del algoritmo, no de la configuración</w:t>
      </w:r>
    </w:p>
    <w:p>
      <w:pPr>
        <w:spacing w:after="160"/>
      </w:pPr>
      <w:r>
        <w:rPr>
          <w:sz w:val="22"/>
          <w:szCs w:val="22"/>
        </w:rPr>
        <w:t xml:space="preserve">Para Isolation Forest (no supervisado) se implementó una búsqueda manual de 36 combinaciones (n° de estimadores, fracción de muestras, tasa de contaminación), usando como métrica cuántos de los 8 casos sembrados caen en el top-8 del ranking de anomalía. Resultado: el recall se estancó en 3/8 (37.5%) para toda combinación con max_samples=1.0, sin importar el resto de parámetros — evidencia de que la limitación es estructural del algoritmo sobre estas variables, no una configuración subóptima. Este hallazgo refuerza, con evidencia adicional, la conclusión central del prototipo (Sección 4): ningún ajuste de hiperparámetros iguala a la regla interpretable basada en el umbral legal (100% de precisión). Se mantuvo la configuración más liviana entre las empatadas (100 estimadores en vez de 300).</w:t>
      </w:r>
    </w:p>
    <w:p>
      <w:pPr>
        <w:pStyle w:val="Heading1"/>
        <w:spacing w:after="150" w:before="300"/>
      </w:pPr>
      <w:r>
        <w:t xml:space="preserve">11. Estándares Institucionales de Extracción SQL (Ejecutado)</w:t>
      </w:r>
    </w:p>
    <w:p>
      <w:pPr>
        <w:spacing w:after="160"/>
      </w:pPr>
      <w:r>
        <w:rPr>
          <w:sz w:val="22"/>
          <w:szCs w:val="22"/>
        </w:rPr>
        <w:t xml:space="preserve">Cubre el ítem 3 del checklist del Anexo 3: "Cumplimiento de Reglas Técnicas de la CGR (uso de LEFT JOIN, lógica de 'cortocircuito' y prohibición de Full Table Scans en tablas de hechos)". En un ecosistema Hadoop/Spark, prohibir el Full Table Scan no se resuelve con índices tradicionales, sino con particionamiento físico: se reescribió la tabla de hechos (contratos) como Parquet particionado por año-mes (42 particiones), lo que permite que Spark descarte particiones completas sin leerlas cuando la consulta filtra por esa columna.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800"/>
        <w:gridCol w:w="2600"/>
      </w:tblGrid>
      <w:tr>
        <w:tc>
          <w:tcPr>
            <w:tcW w:type="dxa" w:w="5800"/>
            <w:shd w:fill="1F4E79" w:val="clear"/>
            <w:tcMar>
              <w:top w:type="dxa" w:w="60"/>
              <w:left w:type="dxa" w:w="100"/>
              <w:bottom w:type="dxa" w:w="60"/>
              <w:right w:type="dxa" w:w="100"/>
            </w:tcMar>
            <w:vAlign w:val="center"/>
          </w:tcPr>
          <w:p>
            <w:pPr>
              <w:jc w:val="left"/>
            </w:pPr>
            <w:r>
              <w:rPr>
                <w:b/>
                <w:bCs/>
                <w:color w:val="FFFFFF"/>
                <w:sz w:val="20"/>
                <w:szCs w:val="20"/>
              </w:rPr>
              <w:t xml:space="preserve">Verificación</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totales de la tabla de hechos</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42</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leídas al filtrar por año-mes reciente</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6 de 42 (14%)</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Poda de particiones confirmada en el plan físico de Spark</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Sí</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LEFT JOIN vs. INNER JOIN (prueba dirigida con huérfano forzado)</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 fila vs. 0 filas</w:t>
            </w:r>
          </w:p>
        </w:tc>
      </w:tr>
    </w:tbl>
    <w:p>
      <w:pPr>
        <w:spacing w:after="160"/>
      </w:pPr>
      <w:r>
        <w:rPr>
          <w:sz w:val="4"/>
          <w:szCs w:val="4"/>
        </w:rPr>
        <w:t xml:space="preserve"/>
      </w:r>
    </w:p>
    <w:p>
      <w:pPr>
        <w:spacing w:after="160"/>
      </w:pPr>
      <w:r>
        <w:rPr>
          <w:sz w:val="22"/>
          <w:szCs w:val="22"/>
        </w:rPr>
        <w:t xml:space="preserve">La prueba de LEFT JOIN se hizo de forma honesta: sobre los datos reales del prototipo, LEFT JOIN e INNER JOIN devuelven el mismo resultado porque la integridad referencial es perfecta por diseño (no hay huérfanos orgánicos que mostrar). Se construyó entonces una prueba dirigida — un contrato con un id_funcionario inexistente en la tabla dimensión — que confirma el comportamiento esperado: LEFT JOIN conserva el contrato (con el campo NULL), INNER JOIN lo descarta silenciosamente. Ese descarte silencioso es exactamente el riesgo de auditoría que motiva la regla del checklist.</w:t>
      </w:r>
    </w:p>
    <w:p>
      <w:pPr>
        <w:spacing w:after="160"/>
      </w:pPr>
      <w:r>
        <w:rPr>
          <w:sz w:val="22"/>
          <w:szCs w:val="22"/>
        </w:rPr>
        <w:t xml:space="preserve">La "lógica de cortocircuito" se aplicó ordenando el WHERE con el filtro más selectivo y barato primero (igualdad sobre id_entidad) antes que el filtro de rango sobre monto, siguiendo el mismo principio que la poda de particiones: descartar lo más posible, lo antes posible.</w:t>
      </w:r>
    </w:p>
    <w:p>
      <w:pPr>
        <w:pStyle w:val="Heading1"/>
        <w:spacing w:after="150" w:before="300"/>
      </w:pPr>
      <w:r>
        <w:t xml:space="preserve">12. Integración SSRS (Ejecutado)</w:t>
      </w:r>
    </w:p>
    <w:p>
      <w:pPr>
        <w:spacing w:after="160"/>
      </w:pPr>
      <w:r>
        <w:rPr>
          <w:sz w:val="22"/>
          <w:szCs w:val="22"/>
        </w:rPr>
        <w:t xml:space="preserve">Cubre el ítem 7 del checklist del Anexo 3: "Integración para Ecosistema SSRS (SQL Server Reporting Services): Resultados del modelo (predicciones y puntajes de riesgo)". No hay acceso a un SQL Server real desde este entorno de prueba de concepto; se construyeron los dos artefactos que sí son portables sin esa infraestructura:</w:t>
      </w:r>
    </w:p>
    <w:p>
      <w:pPr>
        <w:pStyle w:val="ListParagraph"/>
        <w:numPr>
          <w:ilvl w:val="0"/>
          <w:numId w:val="1"/>
        </w:numPr>
        <w:spacing w:after="80"/>
      </w:pPr>
      <w:r>
        <w:rPr>
          <w:sz w:val="22"/>
          <w:szCs w:val="22"/>
        </w:rPr>
        <w:t xml:space="preserve">Esquema T-SQL válido (ssrs/schema_sql_server.sql) con las tres tablas de resultados, tipos de datos e índices, listo para ejecutarse en el SQL Server institucional descrito en el Anexo 2.</w:t>
      </w:r>
    </w:p>
    <w:p>
      <w:pPr>
        <w:pStyle w:val="ListParagraph"/>
        <w:numPr>
          <w:ilvl w:val="0"/>
          <w:numId w:val="1"/>
        </w:numPr>
        <w:spacing w:after="80"/>
      </w:pPr>
      <w:r>
        <w:rPr>
          <w:sz w:val="22"/>
          <w:szCs w:val="22"/>
        </w:rPr>
        <w:t xml:space="preserve">Publicación real de los 5,523 registros de resultados (2,354 de favoritismo + 149 de fraccionamiento + 3,020 de vínculos) sobre ese mismo esquema, usando SQLite como stand-in local documentado — cambiar el driver de conexión (sqlite3 → pyodbc/pymssql) es el único paso para apuntar a un SQL Server real.</w:t>
      </w:r>
    </w:p>
    <w:p>
      <w:pPr>
        <w:pStyle w:val="ListParagraph"/>
        <w:numPr>
          <w:ilvl w:val="0"/>
          <w:numId w:val="1"/>
        </w:numPr>
        <w:spacing w:after="80"/>
      </w:pPr>
      <w:r>
        <w:rPr>
          <w:sz w:val="22"/>
          <w:szCs w:val="22"/>
        </w:rPr>
        <w:t xml:space="preserve">Un archivo .rdl (Report Definition Language) real y válido — el formato nativo de SSRS — con un dataset parametrizado y una tabla de riesgo, verificado como XML bien formado bajo el namespace oficial de SSRS 2016. No se ejecuta aquí (requiere un servidor SSRS real), pero es el entregable listo para desplegar, no una simulación de su contenido.</w:t>
      </w:r>
    </w:p>
    <w:p>
      <w:pPr>
        <w:spacing w:after="160"/>
      </w:pPr>
      <w:r>
        <w:rPr>
          <w:sz w:val="22"/>
          <w:szCs w:val="22"/>
        </w:rPr>
        <w:t xml:space="preserve">La consulta de prueba (equivalente al Dataset compartido que usaría el .rdl, filtrando por score_riesgo ≥ 0.5) devolvió exactamente los 6 proveedores de mayor riesgo — los mismos que aparecen en el ranking de la Sección 3.</w:t>
      </w:r>
    </w:p>
    <w:p>
      <w:pPr>
        <w:pStyle w:val="Heading1"/>
        <w:spacing w:after="150" w:before="300"/>
      </w:pPr>
      <w:r>
        <w:t xml:space="preserve">13. Autoevaluación y Autoentrenamiento (Ejecutado)</w:t>
      </w:r>
    </w:p>
    <w:p>
      <w:pPr>
        <w:spacing w:after="160"/>
      </w:pPr>
      <w:r>
        <w:rPr>
          <w:sz w:val="22"/>
          <w:szCs w:val="22"/>
        </w:rPr>
        <w:t xml:space="preserve">Cierra el último pendiente identificado, cubriendo el objetivo específico 3.2.c del TDR: "Incorporar mecanismos de autoevaluación y, cuando sea pertinente, de autoentrenamiento para permitir la actualización continua de los modelos... asegurando que los algoritmos se mantengan precisos, pertinentes y adaptados a la evolución de los patrones de contratación."</w:t>
      </w:r>
    </w:p>
    <w:p>
      <w:pPr>
        <w:spacing w:after="160"/>
      </w:pPr>
      <w:r>
        <w:rPr>
          <w:sz w:val="22"/>
          <w:szCs w:val="22"/>
        </w:rPr>
        <w:t xml:space="preserve">El mecanismo combina dos señales independientes — cualquiera dispara reentrenamiento: (1) deriva de datos, medida con Population Stability Index (PSI) sobre variables clave, comparando la distribución de entrenamiento contra la de los contratos más recientes; y (2) degradación de desempeño, midiendo si el modelo actual sigue detectando casos de favoritismo ya confirmados por auditores (la retroalimentación humana que menciona el TDR).</w:t>
      </w:r>
    </w:p>
    <w:p>
      <w:pPr>
        <w:spacing w:after="160"/>
      </w:pPr>
      <w:r>
        <w:rPr>
          <w:sz w:val="22"/>
          <w:szCs w:val="22"/>
        </w:rPr>
        <w:t xml:space="preserve">Se validó con dos escenarios simulados de "próximo trimestre": uno con la misma distribución de entrenamiento (no debería disparar nada) y otro con una deriva real (salto de modalidades competitivas a no competitivas, y dos casos de favoritismo con un perfil distinto al aprendido — pocos contratos de monto muy alto, en vez de muchos contratos pequeños).</w:t>
      </w:r>
    </w:p>
    <w:p>
      <w:pPr>
        <w:spacing w:after="100"/>
        <w:jc w:val="center"/>
      </w:pPr>
      <w:r>
        <w:drawing>
          <wp:inline distT="0" distB="0" distL="0" distR="0">
            <wp:extent cx="400050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619125"/>
                    </a:xfrm>
                    <a:prstGeom prst="rect">
                      <a:avLst/>
                    </a:prstGeom>
                  </pic:spPr>
                </pic:pic>
              </a:graphicData>
            </a:graphic>
          </wp:inline>
        </w:drawing>
      </w:r>
    </w:p>
    <w:p>
      <w:pPr>
        <w:spacing w:after="200" w:before="60"/>
        <w:jc w:val="center"/>
      </w:pPr>
      <w:r>
        <w:rPr>
          <w:i/>
          <w:iCs/>
          <w:color w:val="666666"/>
          <w:sz w:val="18"/>
          <w:szCs w:val="18"/>
        </w:rPr>
        <w:t xml:space="preserve">Figura 10. DAG de monitoreo (schedule mensual) — genera el lote más reciente y evalúa si corresponde reentrenar.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400"/>
        <w:gridCol w:w="2000"/>
      </w:tblGrid>
      <w:tr>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Escenario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PSI máximo</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Recall sobre casos nuevos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¿Disparó reentrenamiento?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Normal (sin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0.186</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No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Con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1.608</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1.00</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Sí</w:t>
            </w:r>
          </w:p>
        </w:tc>
      </w:tr>
    </w:tbl>
    <w:p>
      <w:pPr>
        <w:spacing w:after="160"/>
      </w:pPr>
      <w:r>
        <w:rPr>
          <w:sz w:val="4"/>
          <w:szCs w:val="4"/>
        </w:rPr>
        <w:t xml:space="preserve"/>
      </w:r>
    </w:p>
    <w:p>
      <w:pPr>
        <w:spacing w:after="160"/>
      </w:pPr>
      <w:r>
        <w:rPr>
          <w:sz w:val="22"/>
          <w:szCs w:val="22"/>
        </w:rPr>
        <w:t xml:space="preserve">Hallazgo relevante: en el escenario con deriva, el modelo actual todavía detectaba correctamente los 2 casos nuevos (recall = 1.00) — si la decisión dependiera solo de desempeño, no se habría disparado ninguna alerta. Fue la señal de PSI (1.608, muy por encima del umbral de 0.25) la que detectó que la población de contratos había cambiado, independientemente de que el modelo, por ahora, siguiera acertando. Esa es exactamente la razón de tener ambas señales: el desempeño puede verse bien por casualidad mientras el terreno ya cambió debajo del modelo.</w:t>
      </w:r>
    </w:p>
    <w:p>
      <w:pPr>
        <w:spacing w:after="160"/>
      </w:pPr>
      <w:r>
        <w:rPr>
          <w:sz w:val="22"/>
          <w:szCs w:val="22"/>
        </w:rPr>
        <w:t xml:space="preserve">El DAG completo (generación del lote → autoevaluación → reentrenamiento condicional) corrió de punta a punta con Apache Airflow real (`airflow dags test`), en 12.2 segundos, con estado "success" — igual que el DAG principal de la Sección 9. Cada decisión queda registrada en outputs/log_reentrenamiento.csv con marca de tiempo, señales evaluadas y motivo, para que ningún reentrenamiento ocurra de forma silenciosa o no auditable.</w:t>
      </w:r>
    </w:p>
    <w:p>
      <w:pPr>
        <w:pStyle w:val="Heading1"/>
        <w:spacing w:after="150" w:before="300"/>
      </w:pPr>
      <w:r>
        <w:t xml:space="preserve">Anexo A. Prueba con Datos Reales de SEACE (fuera del alcance del TDR)</w:t>
      </w:r>
    </w:p>
    <w:p>
      <w:pPr>
        <w:spacing w:after="160"/>
      </w:pPr>
      <w:r>
        <w:rPr>
          <w:sz w:val="22"/>
          <w:szCs w:val="22"/>
        </w:rPr>
        <w:t xml:space="preserve">El TDR no exige esta prueba — todo el análisis anterior usa datos sintéticos, que es lo que el alcance requiere. Se incluye este anexo porque, adicionalmente, se obtuvo acceso a datos verdaderos de contrataciones públicas (no de la CGR, sino del portal de datos abiertos de la OECE, estándar OCDS, licencia CC BY 4.0) y se corrió el pipeline sobre ellos, para dejar registro de qué tan bien se comporta la metodología fuera de un entorno sintético controlado.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Dato</w:t>
            </w:r>
          </w:p>
        </w:tc>
        <w:tc>
          <w:tcPr>
            <w:tcW w:type="dxa" w:w="46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Fuente</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data.open-contracting.org — OECE Perú, año 2022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Contratos reales procesados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47,442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Proveedores reales (RUC)</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25,535</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Entidades compradoras reales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2,732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Monto total analizado</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S/. 32,241 millones</w:t>
            </w:r>
          </w:p>
        </w:tc>
      </w:tr>
    </w:tbl>
    <w:p>
      <w:pPr>
        <w:spacing w:after="160"/>
      </w:pPr>
      <w:r>
        <w:rPr>
          <w:sz w:val="4"/>
          <w:szCs w:val="4"/>
        </w:rPr>
        <w:t xml:space="preserve"/>
      </w:r>
    </w:p>
    <w:p>
      <w:pPr>
        <w:pStyle w:val="Heading2"/>
        <w:spacing w:after="100" w:before="200"/>
      </w:pPr>
      <w:r>
        <w:t xml:space="preserve">Adaptaciones metodológicas honestas</w:t>
      </w:r>
    </w:p>
    <w:p>
      <w:pPr>
        <w:pStyle w:val="ListParagraph"/>
        <w:numPr>
          <w:ilvl w:val="0"/>
          <w:numId w:val="1"/>
        </w:numPr>
        <w:spacing w:after="80"/>
      </w:pPr>
      <w:r>
        <w:rPr>
          <w:sz w:val="22"/>
          <w:szCs w:val="22"/>
        </w:rPr>
        <w:t xml:space="preserve">Sin ground truth: a diferencia del dataset sintético, no existe una etiqueta real de "esto fue favoritismo". El modelo de favoritismo pasó de ser un clasificador supervisado a un score de riesgo no supervisado (Isolation Forest) — una lista de candidatos para revisión humana, no una predicción validada.</w:t>
      </w:r>
    </w:p>
    <w:p>
      <w:pPr>
        <w:pStyle w:val="ListParagraph"/>
        <w:numPr>
          <w:ilvl w:val="0"/>
          <w:numId w:val="1"/>
        </w:numPr>
        <w:spacing w:after="80"/>
      </w:pPr>
      <w:r>
        <w:rPr>
          <w:sz w:val="22"/>
          <w:szCs w:val="22"/>
        </w:rPr>
        <w:t xml:space="preserve">Fraccionamiento se aplicó sin cambios (la regla del umbral legal no depende de etiquetas).</w:t>
      </w:r>
    </w:p>
    <w:p>
      <w:pPr>
        <w:pStyle w:val="ListParagraph"/>
        <w:numPr>
          <w:ilvl w:val="0"/>
          <w:numId w:val="1"/>
        </w:numPr>
        <w:spacing w:after="80"/>
      </w:pPr>
      <w:r>
        <w:rPr>
          <w:sz w:val="22"/>
          <w:szCs w:val="22"/>
        </w:rPr>
        <w:t xml:space="preserve">Vínculos se adaptó a nivel proveedor-entidad (no proveedor-funcionario): SEACE abierto registra organizaciones, no funcionarios públicos individuales.</w:t>
      </w:r>
    </w:p>
    <w:p>
      <w:pPr>
        <w:pStyle w:val="Heading2"/>
        <w:spacing w:after="100" w:before="200"/>
      </w:pPr>
      <w:r>
        <w:t xml:space="preserve">Hallazgos honestos (incluye un error propio, corregido)</w:t>
      </w:r>
    </w:p>
    <w:p>
      <w:pPr>
        <w:pStyle w:val="ListParagraph"/>
        <w:numPr>
          <w:ilvl w:val="0"/>
          <w:numId w:val="1"/>
        </w:numPr>
        <w:spacing w:after="80"/>
      </w:pPr>
      <w:r>
        <w:rPr>
          <w:sz w:val="22"/>
          <w:szCs w:val="22"/>
        </w:rPr>
        <w:t xml:space="preserve">Se detectó y corrigió un artefacto real: contratos con consorcios de varias empresas se estaban contando una vez por cada integrante, inflando artificialmente las métricas de concentración. Se corrigió representando cada consorcio como una sola entidad compuesta.</w:t>
      </w:r>
    </w:p>
    <w:p>
      <w:pPr>
        <w:pStyle w:val="ListParagraph"/>
        <w:numPr>
          <w:ilvl w:val="0"/>
          <w:numId w:val="1"/>
        </w:numPr>
        <w:spacing w:after="80"/>
      </w:pPr>
      <w:r>
        <w:rPr>
          <w:sz w:val="22"/>
          <w:szCs w:val="22"/>
        </w:rPr>
        <w:t xml:space="preserve">Se encontró un falso positivo genuino: un programa de investigación científica paga a evaluadores individuales por lotes (montos de S/. 600-2,600), lo que el detector de consorcios confundía con concentración sospechosa. Se dejó anotado explícitamente en vez de ocultarlo.</w:t>
      </w:r>
    </w:p>
    <w:p>
      <w:pPr>
        <w:pStyle w:val="ListParagraph"/>
        <w:numPr>
          <w:ilvl w:val="0"/>
          <w:numId w:val="1"/>
        </w:numPr>
        <w:spacing w:after="80"/>
      </w:pPr>
      <w:r>
        <w:rPr>
          <w:sz w:val="22"/>
          <w:szCs w:val="22"/>
        </w:rPr>
        <w:t xml:space="preserve">Los patrones de mayor score de riesgo corresponden a consorcios de gran magnitud (decenas de millones de soles) en entidades grandes de infraestructura y salud — consorcios son legales, pero la concentración amerita revisión de auditor, que es exactamente el uso previsto por el TDR.</w:t>
      </w:r>
    </w:p>
    <w:p>
      <w:pPr>
        <w:pStyle w:val="ListParagraph"/>
        <w:numPr>
          <w:ilvl w:val="0"/>
          <w:numId w:val="1"/>
        </w:numPr>
        <w:spacing w:after="80"/>
      </w:pPr>
      <w:r>
        <w:rPr>
          <w:sz w:val="22"/>
          <w:szCs w:val="22"/>
        </w:rPr>
        <w:t xml:space="preserve">El chequeo de vínculos por teléfono compartido dio 0 coincidencias sobre 35,832 pares proveedor-entidad reales — un resultado negativo genuino (no hay evidencia de esa señal específica en este año), no una falla del código.</w:t>
      </w:r>
    </w:p>
    <w:p>
      <w:pPr>
        <w:spacing w:after="160"/>
      </w:pPr>
      <w:r>
        <w:rPr>
          <w:sz w:val="22"/>
          <w:szCs w:val="22"/>
        </w:rPr>
        <w:t xml:space="preserve">Código y resultados completos en el repositorio (src/cargar_datos_reales_seace.py, src/modelo_real.py, outputs/*_REAL.csv). Los datos crudos no se versionan por tamaño (~245 MB); el repositorio documenta cómo reproducirlos desde la fuente pública original.</w:t>
      </w:r>
    </w:p>
    <w:p>
      <w:pPr>
        <w:pStyle w:val="Heading1"/>
        <w:spacing w:after="150" w:before="300"/>
      </w:pPr>
      <w:r>
        <w:t xml:space="preserve">Anexo B. Verificación de Componentes de la Plataforma (Anexo 2 del TDR)</w:t>
      </w:r>
    </w:p>
    <w:p>
      <w:pPr>
        <w:spacing w:after="160"/>
      </w:pPr>
      <w:r>
        <w:rPr>
          <w:sz w:val="22"/>
          <w:szCs w:val="22"/>
        </w:rPr>
        <w:t xml:space="preserve">El Anexo 2 del TDR ("Arquitectura de la Plataforma de Minería de Datos") especifica los componentes esperados: ingesta Batch/CDC-CDF/Streaming, Delta Lake con capas Bronce/Plata/Oro, HMS sobre MySQL, lenguajes soportados (Python, SQL, Scala, R, Java), Spark (SQL/Streaming/MLlib/GraphX) sobre Hadoop YARN, Airflow, y salida hacia SQL Server/SSRS/Power BI. Se verificó, componente por componente, cuáles corren realmente en este entorno de prueba de concepto.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36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Componente</w:t>
            </w:r>
          </w:p>
        </w:tc>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Batch</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Streaming</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CDC/CDF</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evidencia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Capas Bronce/Plata/Oro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(Delta Lake real disponible, ver evidencia)</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Delta Lake (formato nativo)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evidencia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HMS (Hive Metastore)</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Parquet</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Python / SQL / Scala / R / Java</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 los 5 verificados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MLlib</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GraphX</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Sección 5 — GraphFrames real)</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Hadoop YARN / HDFS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por naturaleza (ver explicación abajo, no un bloqueo de librería)</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Apache Airflow</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SQL Server / SSRS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Parcial — esquema real, SQLite como stand-in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Modelo Tabular (SSAS)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solo Windows Server</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Power BI</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requiere licencia/cuenta</w:t>
            </w:r>
          </w:p>
        </w:tc>
      </w:tr>
    </w:tbl>
    <w:p>
      <w:pPr>
        <w:spacing w:after="160"/>
      </w:pPr>
      <w:r>
        <w:rPr>
          <w:sz w:val="4"/>
          <w:szCs w:val="4"/>
        </w:rPr>
        <w:t xml:space="preserve"/>
      </w:r>
    </w:p>
    <w:p>
      <w:pPr>
        <w:pStyle w:val="Heading2"/>
        <w:spacing w:after="100" w:before="200"/>
      </w:pPr>
      <w:r>
        <w:t xml:space="preserve">Tres tipos de bloqueo, no uno solo</w:t>
      </w:r>
    </w:p>
    <w:p>
      <w:pPr>
        <w:pStyle w:val="ListParagraph"/>
        <w:numPr>
          <w:ilvl w:val="0"/>
          <w:numId w:val="1"/>
        </w:numPr>
        <w:spacing w:after="80"/>
      </w:pPr>
      <w:r>
        <w:rPr>
          <w:sz w:val="22"/>
          <w:szCs w:val="22"/>
        </w:rPr>
        <w:t xml:space="preserve">Red del entorno de prueba: GraphX/GraphFrames y Delta Lake requerían descargar un .jar desde Maven Central, dominio fuera de la lista de salida permitida aquí — y ambos se resolvieron (ver Sección 5 y evidencia abajo) descargando los .jar correctos fuera de este entorno y cargándolos manualmente.</w:t>
      </w:r>
    </w:p>
    <w:p>
      <w:pPr>
        <w:pStyle w:val="ListParagraph"/>
        <w:numPr>
          <w:ilvl w:val="0"/>
          <w:numId w:val="1"/>
        </w:numPr>
        <w:spacing w:after="80"/>
      </w:pPr>
      <w:r>
        <w:rPr>
          <w:sz w:val="22"/>
          <w:szCs w:val="22"/>
        </w:rPr>
        <w:t xml:space="preserve">Hadoop YARN/HDFS es un caso distinto y no simulable con el mismo truco — ver explicación dedicada más abajo.</w:t>
      </w:r>
    </w:p>
    <w:p>
      <w:pPr>
        <w:pStyle w:val="ListParagraph"/>
        <w:numPr>
          <w:ilvl w:val="0"/>
          <w:numId w:val="1"/>
        </w:numPr>
        <w:spacing w:after="80"/>
      </w:pPr>
      <w:r>
        <w:rPr>
          <w:sz w:val="22"/>
          <w:szCs w:val="22"/>
        </w:rPr>
        <w:t xml:space="preserve">Sistema operativo: SSAS es tecnología exclusiva de Windows Server; no existe equivalente en Linux.</w:t>
      </w:r>
    </w:p>
    <w:p>
      <w:pPr>
        <w:pStyle w:val="ListParagraph"/>
        <w:numPr>
          <w:ilvl w:val="0"/>
          <w:numId w:val="1"/>
        </w:numPr>
        <w:spacing w:after="80"/>
      </w:pPr>
      <w:r>
        <w:rPr>
          <w:sz w:val="22"/>
          <w:szCs w:val="22"/>
        </w:rPr>
        <w:t xml:space="preserve">Licencia/cuenta: Power BI y un SQL Server real requieren una cuenta o licencia — no hay forma de "instalarlos gratis" en ningún entorno. Quedan fuera de alcance por decisión, no por límite técnico.</w:t>
      </w:r>
    </w:p>
    <w:p>
      <w:pPr>
        <w:pStyle w:val="Heading2"/>
        <w:spacing w:after="100" w:before="200"/>
      </w:pPr>
      <w:r>
        <w:t xml:space="preserve">Evidencia: Streaming</w:t>
      </w:r>
    </w:p>
    <w:p>
      <w:pPr>
        <w:spacing w:after="160"/>
      </w:pPr>
      <w:r>
        <w:rPr>
          <w:sz w:val="22"/>
          <w:szCs w:val="22"/>
        </w:rPr>
        <w:t xml:space="preserve">Se construyó un stream de Spark Structured Streaming que vigila una carpeta y procesa cada archivo nuevo que llega — simulando la publicación incremental de contratos a lo largo del día, no una carga única. Resultado real: 3 micro-batches procesados de forma incremental; la entidad E01 acumuló correctamente 3 contratos por S/. 296,000 a medida que llegaban, sin reprocesar desde cero.</w:t>
      </w:r>
    </w:p>
    <w:p>
      <w:pPr>
        <w:pStyle w:val="Heading2"/>
        <w:spacing w:after="100" w:before="200"/>
      </w:pPr>
      <w:r>
        <w:t xml:space="preserve">Evidencia: HMS (Hive Metastore)</w:t>
      </w:r>
    </w:p>
    <w:p>
      <w:pPr>
        <w:spacing w:after="160"/>
      </w:pPr>
      <w:r>
        <w:rPr>
          <w:sz w:val="22"/>
          <w:szCs w:val="22"/>
        </w:rPr>
        <w:t xml:space="preserve">Se registraron 4 tablas reales del prototipo (incluyendo los 47,442 contratos reales de SEACE del Anexo A) en un catálogo Hive Metastore, consultables por nombre vía SQL puro sin conocer la ruta física del archivo — el propósito real de un metastore. El backend es Derby local, no MySQL como especifica el Anexo 2, pero es un cambio de una línea de configuración, no de arquitectura.</w:t>
      </w:r>
    </w:p>
    <w:p>
      <w:pPr>
        <w:pStyle w:val="Heading2"/>
        <w:spacing w:after="100" w:before="200"/>
      </w:pPr>
      <w:r>
        <w:t xml:space="preserve">Evidencia: R</w:t>
      </w:r>
    </w:p>
    <w:p>
      <w:pPr>
        <w:spacing w:after="160"/>
      </w:pPr>
      <w:r>
        <w:rPr>
          <w:sz w:val="22"/>
          <w:szCs w:val="22"/>
        </w:rPr>
        <w:t xml:space="preserve">Se ejecutó una prueba t de Welch en R sobre la variable de mayor importancia del modelo de favoritismo (concentracion_objeto, ver Sección 3), comparando el grupo con favoritismo real contra el resto. Resultado: diferencia altamente significativa (p = 3.58×10⁻⁸), confirmando con una prueba estadística formal lo que el Random Forest ya señalaba por importancia de variable.</w:t>
      </w:r>
    </w:p>
    <w:p>
      <w:pPr>
        <w:spacing w:after="100"/>
        <w:jc w:val="center"/>
      </w:pPr>
      <w:r>
        <w:drawing>
          <wp:inline distT="0" distB="0" distL="0" distR="0">
            <wp:extent cx="43815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914650"/>
                    </a:xfrm>
                    <a:prstGeom prst="rect">
                      <a:avLst/>
                    </a:prstGeom>
                  </pic:spPr>
                </pic:pic>
              </a:graphicData>
            </a:graphic>
          </wp:inline>
        </w:drawing>
      </w:r>
    </w:p>
    <w:p>
      <w:pPr>
        <w:spacing w:after="200" w:before="60"/>
        <w:jc w:val="center"/>
      </w:pPr>
      <w:r>
        <w:rPr>
          <w:i/>
          <w:iCs/>
          <w:color w:val="666666"/>
          <w:sz w:val="18"/>
          <w:szCs w:val="18"/>
        </w:rPr>
        <w:t xml:space="preserve">Figura 11. Separación entre grupos (R) — evidencia visual de la misma señal que detecta el modelo.</w:t>
      </w:r>
    </w:p>
    <w:p>
      <w:pPr>
        <w:pStyle w:val="Heading2"/>
        <w:spacing w:after="100" w:before="200"/>
      </w:pPr>
      <w:r>
        <w:t xml:space="preserve">Evidencia: Delta Lake (ACID, historial de versiones, time travel, CDC/CDF)</w:t>
      </w:r>
    </w:p>
    <w:p>
      <w:pPr>
        <w:spacing w:after="160"/>
      </w:pPr>
      <w:r>
        <w:rPr>
          <w:sz w:val="22"/>
          <w:szCs w:val="22"/>
        </w:rPr>
        <w:t xml:space="preserve">Con los .jar correctos (io.delta:delta-spark_4.1_2.13:4.3.0 — nótese el sufijo de versión de Spark, obligatorio desde Delta Lake 4.1), la capa Bronce se reescribió como una tabla Delta Lake real, no Parquet plano. Se simuló el escenario más relevante para un auditor: una corrección de monto sobre un contrato ya existente.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52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Capacidad verificada</w:t>
            </w:r>
          </w:p>
        </w:tc>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UPDATE transaccional (ACID)</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Aplicado correctamente, nueva versión creada automáticamente</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DESCRIBE HISTORY</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2 versiones registradas: WRITE (v0) y UPDATE (v1), con predicado exacto</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Time travel (versionAsOf 0)</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Monto original (S/. 51,428.87) recuperado exacto, tras la corrección a S/. 69,428.97</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Change Data Feed (CDC/CDF)</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Preimage y postimage capturados fila por fila (update_preimage / update_postimage)</w:t>
            </w:r>
          </w:p>
        </w:tc>
      </w:tr>
    </w:tbl>
    <w:p>
      <w:pPr>
        <w:spacing w:after="160"/>
      </w:pPr>
      <w:r>
        <w:rPr>
          <w:sz w:val="4"/>
          <w:szCs w:val="4"/>
        </w:rPr>
        <w:t xml:space="preserve"/>
      </w:r>
    </w:p>
    <w:p>
      <w:pPr>
        <w:spacing w:after="160"/>
      </w:pPr>
      <w:r>
        <w:rPr>
          <w:sz w:val="22"/>
          <w:szCs w:val="22"/>
        </w:rPr>
        <w:t xml:space="preserve">Esto es lo que un CSV sobrescrito, o incluso Parquet plano, no puede ofrecer: la versión anterior de un dato sigue existiendo y es consultable sin backups manuales — si un funcionario corrige (o manipula) un monto después de que un auditor ya lo revisó, Delta Lake conserva evidencia exacta de cuál era el valor antes. Código en src/spark/lakehouse_delta.py.</w:t>
      </w:r>
    </w:p>
    <w:p>
      <w:pPr>
        <w:pStyle w:val="Heading2"/>
        <w:spacing w:after="100" w:before="200"/>
      </w:pPr>
      <w:r>
        <w:t xml:space="preserve">Por qué Hadoop YARN/HDFS es un caso distinto (no un bloqueo de librería)</w:t>
      </w:r>
    </w:p>
    <w:p>
      <w:pPr>
        <w:spacing w:after="160"/>
      </w:pPr>
      <w:r>
        <w:rPr>
          <w:sz w:val="22"/>
          <w:szCs w:val="22"/>
        </w:rPr>
        <w:t xml:space="preserve">A diferencia de GraphFrames y Delta Lake, que fallaban por no poder descargar un .jar específico — un problema de red, resuelto obteniendo el archivo correcto por fuera — Hadoop YARN y HDFS no son primariamente una librería que falte, sino una arquitectura que requiere múltiples máquinas físicas distintas conectadas en red. Se investigó explícitamente una alternativa liviana (org.apache.hadoop:hadoop-client-minicluster, 27.1 MB, la utilidad interna que el propio equipo de Hadoop usa para sus pruebas automatizadas) y se obtuvo el archivo, pero requiere además hadoop-client-runtime — un segundo .jar que empaqueta todas las dependencias de Hadoop (netty, guava, jetty, protobuf) y normalmente pesa 40-70 MB, de nuevo por encima del límite de archivo de este entorno.</w:t>
      </w:r>
    </w:p>
    <w:p>
      <w:pPr>
        <w:spacing w:after="160"/>
      </w:pPr>
      <w:r>
        <w:rPr>
          <w:sz w:val="22"/>
          <w:szCs w:val="22"/>
        </w:rPr>
        <w:t xml:space="preserve">Más importante que el límite de tamaño: HDFS reparte y replica bloques de datos entre nodos distintos para tolerar la caída de una máquina, y YARN reparte CPU/memoria entre esos mismos nodos. Ambos beneficios dependen, por diseño, de que existan varias máquinas físicas separadas — algo que este entorno de prueba de concepto (un único contenedor) no tiene y no puede simular con más código. Incluso si se lograra instalar MiniDFSCluster/MiniYARNCluster, esas clases están explícitamente diseñadas por Apache para pruebas unitarias, no para demostrar distribución real — no habrían probado nada que Spark en modo local[*] no demuestre ya. Esta es la única pieza del Anexo 2 que queda genuinamente fuera de alcance de este entorno, y solo se puede cerrar con acceso a los servidores reales de la CGR.</w:t>
      </w:r>
    </w:p>
    <w:p>
      <w:pPr>
        <w:spacing w:after="160"/>
      </w:pPr>
      <w:r>
        <w:rPr>
          <w:sz w:val="22"/>
          <w:szCs w:val="22"/>
        </w:rPr>
        <w:t xml:space="preserve">Lo que sí cubre el mismo rol funcional dentro de este prototipo: Spark real (Sección 8) es el motor de cómputo que correría sobre YARN; Delta Lake real (evidencia arriba) es el motor de almacenamiento que correría sobre HDFS; y el particionamiento con poda de particiones (Sección 11) es la técnica que evita leer todo el disco, sea ese disco local o HDFS.</w:t>
      </w:r>
    </w:p>
    <w:p>
      <w:pPr>
        <w:pStyle w:val="Heading1"/>
        <w:spacing w:after="150" w:before="300"/>
      </w:pPr>
      <w:r>
        <w:t xml:space="preserve">14. Ruta de Escalamiento Restante</w:t>
      </w:r>
    </w:p>
    <w:p>
      <w:pPr>
        <w:spacing w:after="160"/>
      </w:pPr>
      <w:r>
        <w:rPr>
          <w:sz w:val="22"/>
          <w:szCs w:val="22"/>
        </w:rPr>
        <w:t xml:space="preserve">Con las validaciones de las Secciones 8 y 9, el trabajo pendiente para producción se reduce casi exclusivamente a infraestructura y gobernanza de datos:</w:t>
      </w:r>
    </w:p>
    <w:p>
      <w:pPr>
        <w:pStyle w:val="ListParagraph"/>
        <w:numPr>
          <w:ilvl w:val="0"/>
          <w:numId w:val="1"/>
        </w:numPr>
        <w:spacing w:after="80"/>
      </w:pPr>
      <w:r>
        <w:rPr>
          <w:sz w:val="22"/>
          <w:szCs w:val="22"/>
        </w:rPr>
        <w:t xml:space="preserve">Conectar la ingesta real a las capas Plata/Oro del Lakehouse (reemplazando las carpetas locales por lectura/escritura del Delta Lake real sobre Hadoop HDFS, según el Anexo 2 del TDR — la lógica de Delta Lake ya está verificada, falta el HDFS productivo detrás).</w:t>
      </w:r>
    </w:p>
    <w:p>
      <w:pPr>
        <w:pStyle w:val="ListParagraph"/>
        <w:numPr>
          <w:ilvl w:val="0"/>
          <w:numId w:val="1"/>
        </w:numPr>
        <w:spacing w:after="80"/>
      </w:pPr>
      <w:r>
        <w:rPr>
          <w:sz w:val="22"/>
          <w:szCs w:val="22"/>
        </w:rPr>
        <w:t xml:space="preserve">Desplegar el DAG en el Airflow productivo de la CGR (ya disponible según el Anexo 2), reemplazando BashOperator por SparkSubmitOperator para las tareas de entrenamiento.</w:t>
      </w:r>
    </w:p>
    <w:p>
      <w:pPr>
        <w:pStyle w:val="ListParagraph"/>
        <w:numPr>
          <w:ilvl w:val="0"/>
          <w:numId w:val="1"/>
        </w:numPr>
        <w:spacing w:after="80"/>
      </w:pPr>
      <w:r>
        <w:rPr>
          <w:sz w:val="22"/>
          <w:szCs w:val="22"/>
        </w:rPr>
        <w:t xml:space="preserve">Ejecutar Spark sobre un clúster YARN real, no en modo local[*].</w:t>
      </w:r>
    </w:p>
    <w:p>
      <w:pPr>
        <w:pStyle w:val="ListParagraph"/>
        <w:numPr>
          <w:ilvl w:val="0"/>
          <w:numId w:val="1"/>
        </w:numPr>
        <w:spacing w:after="80"/>
      </w:pPr>
      <w:r>
        <w:rPr>
          <w:sz w:val="22"/>
          <w:szCs w:val="22"/>
        </w:rPr>
        <w:t xml:space="preserve">Reemplazar el SQLite stand-in por una conexión real a SQL Server (pyodbc/pymssql) y desplegar el .rdl en un servidor SSRS real.</w:t>
      </w:r>
    </w:p>
    <w:p>
      <w:pPr>
        <w:pStyle w:val="Heading1"/>
        <w:spacing w:after="150" w:before="300"/>
      </w:pPr>
      <w:r>
        <w:t xml:space="preserve">15. Conclusión</w:t>
      </w:r>
    </w:p>
    <w:p>
      <w:pPr>
        <w:spacing w:after="160"/>
      </w:pPr>
      <w:r>
        <w:rPr>
          <w:sz w:val="22"/>
          <w:szCs w:val="22"/>
        </w:rPr>
        <w:t xml:space="preserve">Este prototipo demuestra en código abierto y en un plazo muy corto que los tres casos de uso priorizados del TDR —favoritismo, fraccionamiento y vínculos proveedor-funcionario— son técnicamente alcanzables con herramientas de licencia abierta, construidas como una contribución al control gubernamental y a la lucha anticorrupción. Cada pieza de la arquitectura fue validada con ejecución real, no solo de forma teórica: modelado en scikit-learn y Apache Spark MLlib (Sección 8), orquestación con Apache Airflow (Sección 9), optimización sistemática de hiperparámetros en ambas plataformas (Sección 10), extracción bajo los estándares SQL institucionales de la CGR (Sección 11), publicación lista para SSRS (Sección 12), y un mecanismo de autoevaluación y autoentrenamiento que distingue correctamente cuándo el modelo necesita actualizarse (Sección 13).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e3e479aff07d35708be563eaf7ba0dfc7c8da951.png"/><Relationship Id="rId12" Type="http://schemas.openxmlformats.org/officeDocument/2006/relationships/image" Target="media/a129c85e0bc7ab774f516edc5ee2a16868744ad4.png"/><Relationship Id="rId13" Type="http://schemas.openxmlformats.org/officeDocument/2006/relationships/image" Target="media/b347bcadb7e937ea6fa551fbfbcc33300146b564.png"/><Relationship Id="rId14" Type="http://schemas.openxmlformats.org/officeDocument/2006/relationships/image" Target="media/18a602768d0f7194eb86a636903adeb6e2f85f2a.png"/><Relationship Id="rId15" Type="http://schemas.openxmlformats.org/officeDocument/2006/relationships/image" Target="media/ee2578159dd465d8e966554a73661b72145cda14.png"/><Relationship Id="rId16" Type="http://schemas.openxmlformats.org/officeDocument/2006/relationships/image" Target="media/2d30a9fb3fee3107a9bb0fbdda63a07c5f8c5ae4.png"/><Relationship Id="rId17" Type="http://schemas.openxmlformats.org/officeDocument/2006/relationships/image" Target="media/cedc9fe6787bc6162ec583380ce171a160caa15e.png"/><Relationship Id="rId18" Type="http://schemas.openxmlformats.org/officeDocument/2006/relationships/image" Target="media/9652ee14d98c0aae5e239a5b7ec9b49b8ad1d05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2026-08-07T17:36:27.634Z</dcterms:created>
  <dcterms:modified xsi:type="dcterms:W3CDTF">2026-08-07T17:36:27.655Z</dcterms:modified>
</cp:coreProperties>
</file>

<file path=docProps/custom.xml><?xml version="1.0" encoding="utf-8"?>
<Properties xmlns="http://schemas.openxmlformats.org/officeDocument/2006/custom-properties" xmlns:vt="http://schemas.openxmlformats.org/officeDocument/2006/docPropsVTypes"/>
</file>