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3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elaborado como prueba de concepto (proof of concept) — no constituye una postulación formal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evaluó y seleccionó un modelo Random Forest para la identificación de proveedores favoritos, por su balance entre precisión, interpretabilidad y bajo riesgo de sobreajuste con una clase positiva minoritaria (0.25% de los pares proveedor-entidad).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4.2.1 y 4.2.2 del TDR: diseño y selección de algoritmos de Machine Learning para la identificación de favoritismo mediante modelos de clasificación o de puntuación de riesgo.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de patrones identificados: concentración de contratos en un subconjunto de proveedores (hasta 32 contratos por proveedor), predominancia de Adjudicación Simplificada (33%) y Comparación de Precios (29%) sobre modalidades competitivas.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estadístico de variables clave: distribución log-normal de montos, con 7.7% de contratos identificados como outliers por el método IQR.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Propuesta fundamentada: se evaluaron Regresión Logística, Gradient Boosting y Random Forest. Se eligió Random Forest por su robustez ante variables correlacionadas, su soporte nativo para pesos balanceados de clase, y su compatibilidad directa con RandomForestClassifier de Spark MLlib para escalamiento futuro.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Arquitectura: 300 árboles, profundidad máxima 6 (para limitar sobreajuste dado el tamaño de la clase positiva), class_weight='balanced'. Actualización: una búsqueda sistemática posterior (Producto 4) confirmó 100 árboles/profundidad 3 como igual de efectivo y ~65% más rápido de entrenar — arquitectura final ajustada en base a esa evidencia.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Reporte de implementación: implementado y ejecutado en scikit-learn Y en Spark MLlib real (pyspark.ml.classification.RandomForestClassifier) — no solo 'portable', sino corrido y verificado en ambas plataformas (ver Producto 7, Sección 4).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Parámetros de entrenamiento documentados en el código fuente (src/modelo_favoritismo.py y src/spark/modelo_favoritismo_spark.py).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comparativo de algoritmos candidatos sobre el dataset del Producto 2.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Definición de la arquitectura final y sus hiperparámetros.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de la lógica de negocio detrás de cada variable predictora.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Se completó la selección y el diseño de arquitectura del modelo. La implementación se realizó en scikit-learn y posteriormente se ejecutó y validó en Spark MLlib real (ver Producto 7, Sección 4) — la migración ya no es una actividad pendiente.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Al momento de este producto no se había validado en Spark real; esto se resolvió en una etapa posterior (Producto 7) obteniendo los .jar necesarios directamente de Maven Central.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Random Forest ofrece el mejor balance entre desempeño e interpretabilidad para este caso de uso. Se recomienda mantener esta elección en producción, complementada con SHAP (ver Producto 4) para sustentar hallazgos ante auditores.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2026-08-07T17:36:39.068Z</dcterms:created>
  <dcterms:modified xsi:type="dcterms:W3CDTF">2026-08-07T17:36:39.068Z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