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294_353888559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296_353888559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298_353888559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0_353888559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2_353888559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4_3538885593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6_3538885593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08_3538885593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10_3538885593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12_3538885593">
            <w:r>
              <w:rPr>
                <w:rStyle w:val="IndexLink"/>
              </w:rPr>
              <w:t>ANEXO TÉCNICO SPRINT 4 — ANÁLISIS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14_3538885593">
            <w:r>
              <w:rPr>
                <w:rStyle w:val="IndexLink"/>
              </w:rPr>
              <w:t>Resultados reproducibles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16_3538885593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18_3538885593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20_3538885593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2_3538885593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294_353888559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296_353888559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298_353888559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00_353888559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02_353888559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304_353888559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06_353888559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08_353888559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10_353888559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auto" w:line="240" w:before="0" w:after="60"/>
        <w:rPr/>
      </w:pPr>
      <w:bookmarkStart w:id="9" w:name="__RefHeading___Toc1312_3538885593"/>
      <w:bookmarkEnd w:id="9"/>
      <w:r>
        <w:rPr>
          <w:rFonts w:ascii="Arial" w:hAnsi="Arial"/>
          <w:b/>
          <w:sz w:val="22"/>
        </w:rPr>
        <w:t>ANEXO TÉCNICO SPRINT 4 — ANÁLISIS DE PAGOS Y MODALIDADES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la actividad del TDR referida al análisis estadístico y exploratorio de patrones de pagos, montos contractuales y modalidades de contratación. La evidencia del PoC usa pagos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0" w:name="__RefHeading___Toc1314_3538885593"/>
      <w:bookmarkEnd w:id="10"/>
      <w:r>
        <w:rPr>
          <w:rFonts w:ascii="Arial" w:hAnsi="Arial"/>
          <w:b/>
          <w:sz w:val="22"/>
        </w:rPr>
        <w:t>Resultados reproducibles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clasificación de modalidades frente a cuantía es únicamente referencial. Contratación Directa, Comparación de Precios, Subasta Inversa, acuerdos marco y otros supuestos pueden depender de condiciones jurídicas o de mercado que no se deducen del monto por sí solo. Por ello,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1" w:name="__RefHeading___Toc1316_3538885593"/>
      <w:bookmarkEnd w:id="1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2" w:name="__RefHeading___Toc1318_3538885593"/>
      <w:bookmarkEnd w:id="1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3" w:name="__RefHeading___Toc1320_3538885593"/>
      <w:bookmarkEnd w:id="13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 institucionales, diccionarios reales, validación jurídica/funcional y permisos de consulta depende de la CGR y se mantiene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4" w:name="__RefHeading___Toc1322_353888559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2026-08-08T18:40:55Z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2026-08-08T18:40:57Z</dcterms:modified>
  <cp:revision>2</cp:revision>
  <dc:subject/>
  <dc:title>Plan de Trabajo - Prototipo independiente CGR 1.8.2</dc:title>
</cp:coreProperties>
</file>